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0B3" w:rsidRPr="00A310B3" w:rsidRDefault="00A310B3" w:rsidP="00A310B3">
      <w:pPr>
        <w:jc w:val="right"/>
        <w:rPr>
          <w:b/>
        </w:rPr>
      </w:pPr>
      <w:r w:rsidRPr="00A310B3">
        <w:rPr>
          <w:b/>
        </w:rPr>
        <w:t>Tabella comparazione Regolamenti 2014-2020 / 2007-2013</w:t>
      </w:r>
    </w:p>
    <w:tbl>
      <w:tblPr>
        <w:tblStyle w:val="Grigliatabella"/>
        <w:tblW w:w="14363" w:type="dxa"/>
        <w:tblLook w:val="04A0" w:firstRow="1" w:lastRow="0" w:firstColumn="1" w:lastColumn="0" w:noHBand="0" w:noVBand="1"/>
      </w:tblPr>
      <w:tblGrid>
        <w:gridCol w:w="7225"/>
        <w:gridCol w:w="7138"/>
      </w:tblGrid>
      <w:tr w:rsidR="00A310B3" w:rsidRPr="00FA2DFA" w:rsidTr="002D4CD0">
        <w:tc>
          <w:tcPr>
            <w:tcW w:w="14363" w:type="dxa"/>
            <w:gridSpan w:val="2"/>
            <w:shd w:val="clear" w:color="auto" w:fill="D9D9D9" w:themeFill="background1" w:themeFillShade="D9"/>
          </w:tcPr>
          <w:p w:rsidR="001F3CE2" w:rsidRPr="001F3CE2" w:rsidRDefault="001F3CE2" w:rsidP="0019026B">
            <w:pPr>
              <w:jc w:val="center"/>
              <w:rPr>
                <w:rFonts w:eastAsia="Times New Roman" w:cs="Times New Roman"/>
                <w:b/>
                <w:szCs w:val="24"/>
                <w:lang w:eastAsia="it-IT"/>
              </w:rPr>
            </w:pPr>
            <w:r w:rsidRPr="001F3CE2">
              <w:rPr>
                <w:rFonts w:eastAsia="Times New Roman" w:cs="Times New Roman"/>
                <w:b/>
                <w:szCs w:val="24"/>
                <w:lang w:eastAsia="it-IT"/>
              </w:rPr>
              <w:t>Preparazione, esame e accettazione dei conti</w:t>
            </w:r>
          </w:p>
          <w:p w:rsidR="00A310B3" w:rsidRPr="001F3CE2" w:rsidRDefault="001F3CE2" w:rsidP="00704E68">
            <w:pPr>
              <w:jc w:val="center"/>
              <w:rPr>
                <w:rFonts w:eastAsia="Times New Roman" w:cs="Times New Roman"/>
                <w:i/>
                <w:szCs w:val="24"/>
                <w:lang w:eastAsia="it-IT"/>
              </w:rPr>
            </w:pPr>
            <w:r w:rsidRPr="001F3CE2">
              <w:rPr>
                <w:rFonts w:eastAsia="Times New Roman" w:cs="Times New Roman"/>
                <w:i/>
                <w:szCs w:val="24"/>
                <w:lang w:eastAsia="it-IT"/>
              </w:rPr>
              <w:t>(Articoli 84, 137-14</w:t>
            </w:r>
            <w:r w:rsidR="00704E68">
              <w:rPr>
                <w:rFonts w:eastAsia="Times New Roman" w:cs="Times New Roman"/>
                <w:i/>
                <w:szCs w:val="24"/>
                <w:lang w:eastAsia="it-IT"/>
              </w:rPr>
              <w:t>1</w:t>
            </w:r>
            <w:r w:rsidRPr="001F3CE2">
              <w:rPr>
                <w:rFonts w:eastAsia="Times New Roman" w:cs="Times New Roman"/>
                <w:i/>
                <w:szCs w:val="24"/>
                <w:lang w:eastAsia="it-IT"/>
              </w:rPr>
              <w:t xml:space="preserve"> del Regolamento Disposizioni comuni)</w:t>
            </w:r>
          </w:p>
        </w:tc>
      </w:tr>
      <w:tr w:rsidR="00A310B3" w:rsidRPr="00FA2DFA" w:rsidTr="002D4CD0">
        <w:tc>
          <w:tcPr>
            <w:tcW w:w="7225" w:type="dxa"/>
            <w:shd w:val="clear" w:color="auto" w:fill="BDD6EE" w:themeFill="accent1" w:themeFillTint="66"/>
          </w:tcPr>
          <w:p w:rsidR="00A310B3" w:rsidRPr="00FA2DFA" w:rsidRDefault="00A310B3" w:rsidP="00FA2DFA">
            <w:pPr>
              <w:jc w:val="center"/>
              <w:rPr>
                <w:rFonts w:cs="Times New Roman"/>
                <w:b/>
                <w:sz w:val="20"/>
                <w:szCs w:val="20"/>
              </w:rPr>
            </w:pPr>
            <w:r w:rsidRPr="00FA2DFA">
              <w:rPr>
                <w:rFonts w:cs="Times New Roman"/>
                <w:b/>
                <w:sz w:val="20"/>
                <w:szCs w:val="20"/>
              </w:rPr>
              <w:t>NUOVO REGOLAMENTO recante DISPOSIZIONI COMUNI [2014-2020]</w:t>
            </w:r>
          </w:p>
          <w:p w:rsidR="00A310B3" w:rsidRPr="00FA2DFA" w:rsidRDefault="00A310B3" w:rsidP="00FA2DFA">
            <w:pPr>
              <w:jc w:val="center"/>
              <w:rPr>
                <w:rFonts w:cs="Times New Roman"/>
                <w:b/>
                <w:sz w:val="20"/>
                <w:szCs w:val="20"/>
              </w:rPr>
            </w:pPr>
            <w:r w:rsidRPr="00FA2DFA">
              <w:rPr>
                <w:rFonts w:cs="Times New Roman"/>
                <w:b/>
                <w:sz w:val="20"/>
                <w:szCs w:val="20"/>
              </w:rPr>
              <w:t>Regolamento UE 1303/2013 del Parlamento e del Consiglio</w:t>
            </w:r>
          </w:p>
        </w:tc>
        <w:tc>
          <w:tcPr>
            <w:tcW w:w="7138" w:type="dxa"/>
            <w:shd w:val="clear" w:color="auto" w:fill="BDD6EE" w:themeFill="accent1" w:themeFillTint="66"/>
          </w:tcPr>
          <w:p w:rsidR="00A310B3" w:rsidRPr="00FA2DFA" w:rsidRDefault="00A310B3" w:rsidP="00FA2DFA">
            <w:pPr>
              <w:jc w:val="center"/>
              <w:rPr>
                <w:rFonts w:cs="Times New Roman"/>
                <w:b/>
                <w:sz w:val="20"/>
                <w:szCs w:val="20"/>
              </w:rPr>
            </w:pPr>
            <w:r w:rsidRPr="00FA2DFA">
              <w:rPr>
                <w:rFonts w:cs="Times New Roman"/>
                <w:b/>
                <w:sz w:val="20"/>
                <w:szCs w:val="20"/>
              </w:rPr>
              <w:t>REGOLAMENTO recante DISPOSIZIONI GENERALI [2007-2013]</w:t>
            </w:r>
          </w:p>
          <w:p w:rsidR="00A310B3" w:rsidRPr="00FA2DFA" w:rsidRDefault="00A310B3" w:rsidP="00FA2DFA">
            <w:pPr>
              <w:jc w:val="center"/>
              <w:rPr>
                <w:rFonts w:cs="Times New Roman"/>
                <w:b/>
                <w:sz w:val="20"/>
                <w:szCs w:val="20"/>
              </w:rPr>
            </w:pPr>
            <w:r w:rsidRPr="00FA2DFA">
              <w:rPr>
                <w:rFonts w:cs="Times New Roman"/>
                <w:b/>
                <w:sz w:val="20"/>
                <w:szCs w:val="20"/>
              </w:rPr>
              <w:t>Regolamento CE 1083/2006 del Consiglio</w:t>
            </w:r>
          </w:p>
        </w:tc>
      </w:tr>
      <w:tr w:rsidR="00F82555" w:rsidRPr="00FA2DFA" w:rsidTr="002D4CD0">
        <w:tc>
          <w:tcPr>
            <w:tcW w:w="7225" w:type="dxa"/>
          </w:tcPr>
          <w:p w:rsidR="00F82555" w:rsidRPr="00FA2DFA" w:rsidRDefault="00F82555" w:rsidP="00077C01">
            <w:pPr>
              <w:jc w:val="both"/>
              <w:rPr>
                <w:rFonts w:cs="Times New Roman"/>
                <w:b/>
                <w:i/>
                <w:sz w:val="20"/>
                <w:szCs w:val="20"/>
              </w:rPr>
            </w:pPr>
            <w:r w:rsidRPr="00FA2DFA">
              <w:rPr>
                <w:rFonts w:cs="Times New Roman"/>
                <w:b/>
                <w:i/>
                <w:sz w:val="20"/>
                <w:szCs w:val="20"/>
              </w:rPr>
              <w:t>Articolo 84</w:t>
            </w:r>
          </w:p>
          <w:p w:rsidR="00F82555" w:rsidRPr="00FA2DFA" w:rsidRDefault="00F82555" w:rsidP="00077C01">
            <w:pPr>
              <w:jc w:val="both"/>
              <w:rPr>
                <w:rFonts w:cs="Times New Roman"/>
                <w:b/>
                <w:i/>
                <w:sz w:val="20"/>
                <w:szCs w:val="20"/>
              </w:rPr>
            </w:pPr>
            <w:r w:rsidRPr="00FA2DFA">
              <w:rPr>
                <w:rFonts w:cs="Times New Roman"/>
                <w:b/>
                <w:i/>
                <w:sz w:val="20"/>
                <w:szCs w:val="20"/>
              </w:rPr>
              <w:t>Termini per l'esame e l'accettazione dei conti da parte della Commissione</w:t>
            </w:r>
          </w:p>
        </w:tc>
        <w:tc>
          <w:tcPr>
            <w:tcW w:w="7138" w:type="dxa"/>
          </w:tcPr>
          <w:p w:rsidR="00F82555" w:rsidRPr="00FA2DFA" w:rsidRDefault="00F82555" w:rsidP="00077C01">
            <w:pPr>
              <w:jc w:val="both"/>
              <w:rPr>
                <w:rFonts w:cs="Times New Roman"/>
                <w:b/>
                <w:i/>
                <w:sz w:val="20"/>
                <w:szCs w:val="20"/>
              </w:rPr>
            </w:pPr>
          </w:p>
        </w:tc>
      </w:tr>
      <w:tr w:rsidR="00F82555" w:rsidRPr="00FA2DFA" w:rsidTr="002D4CD0">
        <w:tc>
          <w:tcPr>
            <w:tcW w:w="7225" w:type="dxa"/>
          </w:tcPr>
          <w:p w:rsidR="00F82555" w:rsidRPr="00FA2DFA" w:rsidRDefault="00F82555" w:rsidP="00077C01">
            <w:pPr>
              <w:jc w:val="both"/>
              <w:rPr>
                <w:rFonts w:cs="Times New Roman"/>
                <w:sz w:val="20"/>
                <w:szCs w:val="20"/>
              </w:rPr>
            </w:pPr>
            <w:r w:rsidRPr="00FA2DFA">
              <w:rPr>
                <w:rFonts w:cs="Times New Roman"/>
                <w:sz w:val="20"/>
                <w:szCs w:val="20"/>
              </w:rPr>
              <w:t>Entro il 31 maggio dell'anno successivo alla chiusura del periodo contabile, la Commissione, a norma dell'articolo 59, paragrafo 6, del regolamento finanziario, applica procedure per l'esame e l'accettazione dei conti e comunica allo Stato membro se ritiene che i conti siano completi, accurati e veritieri conformemente alle norme specifiche di ciascun fondo.</w:t>
            </w:r>
          </w:p>
        </w:tc>
        <w:tc>
          <w:tcPr>
            <w:tcW w:w="7138" w:type="dxa"/>
          </w:tcPr>
          <w:p w:rsidR="00F82555" w:rsidRPr="00FA2DFA" w:rsidRDefault="00F82555"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center"/>
              <w:rPr>
                <w:rFonts w:cs="Times New Roman"/>
                <w:sz w:val="20"/>
                <w:szCs w:val="20"/>
              </w:rPr>
            </w:pPr>
            <w:r w:rsidRPr="00FA2DFA">
              <w:rPr>
                <w:rFonts w:cs="Times New Roman"/>
                <w:sz w:val="20"/>
                <w:szCs w:val="20"/>
              </w:rPr>
              <w:t>SEZIONE I</w:t>
            </w:r>
          </w:p>
          <w:p w:rsidR="00427E50" w:rsidRPr="00FA2DFA" w:rsidRDefault="00427E50" w:rsidP="00077C01">
            <w:pPr>
              <w:jc w:val="center"/>
              <w:rPr>
                <w:rFonts w:cs="Times New Roman"/>
                <w:sz w:val="20"/>
                <w:szCs w:val="20"/>
              </w:rPr>
            </w:pPr>
            <w:r w:rsidRPr="00FA2DFA">
              <w:rPr>
                <w:rFonts w:cs="Times New Roman"/>
                <w:sz w:val="20"/>
                <w:szCs w:val="20"/>
              </w:rPr>
              <w:t>Preparazione, esame e accettazione dei conti</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b/>
                <w:i/>
                <w:sz w:val="20"/>
                <w:szCs w:val="20"/>
              </w:rPr>
            </w:pPr>
            <w:r w:rsidRPr="00FA2DFA">
              <w:rPr>
                <w:rFonts w:cs="Times New Roman"/>
                <w:b/>
                <w:i/>
                <w:sz w:val="20"/>
                <w:szCs w:val="20"/>
              </w:rPr>
              <w:t>Articolo 137</w:t>
            </w:r>
          </w:p>
          <w:p w:rsidR="00427E50" w:rsidRPr="00FA2DFA" w:rsidRDefault="00427E50" w:rsidP="00077C01">
            <w:pPr>
              <w:jc w:val="both"/>
              <w:rPr>
                <w:rFonts w:cs="Times New Roman"/>
                <w:b/>
                <w:i/>
                <w:sz w:val="20"/>
                <w:szCs w:val="20"/>
              </w:rPr>
            </w:pPr>
            <w:r w:rsidRPr="00FA2DFA">
              <w:rPr>
                <w:rFonts w:cs="Times New Roman"/>
                <w:b/>
                <w:i/>
                <w:sz w:val="20"/>
                <w:szCs w:val="20"/>
              </w:rPr>
              <w:t>Preparazione dei conti</w:t>
            </w:r>
          </w:p>
        </w:tc>
        <w:tc>
          <w:tcPr>
            <w:tcW w:w="7138" w:type="dxa"/>
          </w:tcPr>
          <w:p w:rsidR="00427E50" w:rsidRPr="00FA2DFA" w:rsidRDefault="00427E50" w:rsidP="00077C01">
            <w:pPr>
              <w:jc w:val="both"/>
              <w:rPr>
                <w:rFonts w:cs="Times New Roman"/>
                <w:b/>
                <w:i/>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1. I conti di cui all'articolo 59, paragrafo 5, lettera a), del regolamento finanziario sono presentati alla Commissione per ciascun programma operativo. I conti coprono il periodo contabile e indicano, a livello di ciascuna priorità e, se del caso, per ogni fondo e categoria di regioni:</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a) l'importo totale di spese ammissibili registrato dall'autorità di certificazione nei propri sistemi contabili, che è stato inserito in domande di pagamento presentate alla Commissione a norma dell'articolo 131 e dell'articolo 135, paragrafo 2, entro il 31 luglio successivo alla fine del periodo contabile, l'importo totale della spesa pubblica corrispondente sostenuta per l'esecuzione delle operazioni e l'importo totale dei pagamenti corrispondenti effettuati ai beneficiari a norma dell'articolo 132, paragrafo 1;</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lastRenderedPageBreak/>
              <w:t>b) gli importi ritirati e recuperati nel corso del periodo contabile, gli importi da recuperare al termine del periodo contabile, i recuperi effettuati a norma dell'articolo 71 e gli importi non recuperabili;</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c) gli importi dei contributi per programma erogati agli strumenti finanziari a norma dell'articolo 41, paragrafo 1, e gli anticipi dell'aiuto di Stato di cui all'articolo 131, paragrafo 4;</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d) per ciascuna priorità, un raffronto tra le spese dichiarate ai sensi della lettera a) e le spese dichiarate rispetto al medesimo periodo contabile nelle domande di pagamento, accompagnato da una spiegazione delle eventuali differenze.</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2. Qualora le spese previamente incluse in una domanda di pagamento intermedio per il periodo contabile siano escluse da uno Stato membro a causa di una valutazione in corso della legittimità e della regolarità di tali spese, parte o tutte le spese in seguito ritenute legittime e regolari possono essere incluse in una domanda di pagamento intermedio relativa a un successivo periodo contabile.</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3. Al fine di garantire condizioni uniformi di esecuzione del presente articolo, la Commissione adotta atti di esecuzione stabilendo il modello dei conti di cui al presente articolo. Tali atti di esecuzione sono adottati secondo la procedura di esame di cui all'articolo 150, paragrafo 3.</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b/>
                <w:i/>
                <w:sz w:val="20"/>
                <w:szCs w:val="20"/>
              </w:rPr>
            </w:pPr>
            <w:r w:rsidRPr="00FA2DFA">
              <w:rPr>
                <w:rFonts w:cs="Times New Roman"/>
                <w:b/>
                <w:i/>
                <w:sz w:val="20"/>
                <w:szCs w:val="20"/>
              </w:rPr>
              <w:t>Articolo 138</w:t>
            </w:r>
          </w:p>
          <w:p w:rsidR="00427E50" w:rsidRPr="00FA2DFA" w:rsidRDefault="00427E50" w:rsidP="00077C01">
            <w:pPr>
              <w:jc w:val="both"/>
              <w:rPr>
                <w:rFonts w:cs="Times New Roman"/>
                <w:b/>
                <w:i/>
                <w:sz w:val="20"/>
                <w:szCs w:val="20"/>
              </w:rPr>
            </w:pPr>
            <w:r w:rsidRPr="00FA2DFA">
              <w:rPr>
                <w:rFonts w:cs="Times New Roman"/>
                <w:b/>
                <w:i/>
                <w:sz w:val="20"/>
                <w:szCs w:val="20"/>
              </w:rPr>
              <w:t>Presentazione di informazioni</w:t>
            </w:r>
          </w:p>
        </w:tc>
        <w:tc>
          <w:tcPr>
            <w:tcW w:w="7138" w:type="dxa"/>
          </w:tcPr>
          <w:p w:rsidR="00427E50" w:rsidRPr="00FA2DFA" w:rsidRDefault="00427E50" w:rsidP="00077C01">
            <w:pPr>
              <w:jc w:val="both"/>
              <w:rPr>
                <w:rFonts w:cs="Times New Roman"/>
                <w:b/>
                <w:i/>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 xml:space="preserve">Per ogni esercizio, a partire dal 2016 e fino al 2025 compreso, gli Stati membri trasmettono entro il termine stabilito all'articolo 59, paragrafo 5, del regolamento finanziario, i documenti di cui </w:t>
            </w:r>
            <w:proofErr w:type="spellStart"/>
            <w:r w:rsidRPr="00FA2DFA">
              <w:rPr>
                <w:rFonts w:cs="Times New Roman"/>
                <w:sz w:val="20"/>
                <w:szCs w:val="20"/>
              </w:rPr>
              <w:t>a</w:t>
            </w:r>
            <w:proofErr w:type="spellEnd"/>
            <w:r w:rsidRPr="00FA2DFA">
              <w:rPr>
                <w:rFonts w:cs="Times New Roman"/>
                <w:sz w:val="20"/>
                <w:szCs w:val="20"/>
              </w:rPr>
              <w:t xml:space="preserve"> detto articolo, vale a dire:</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a) i conti di cui all'articolo 137, paragrafo 1, del presente regolamento per il precedente periodo contabile;</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b) la dichiarazione di gestione e la relazione annuale di sintesi di cui all'articolo 125, paragrafo 4, primo comma, lettera e), del presente regolamento per il precedente periodo contabile;</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lastRenderedPageBreak/>
              <w:t>c) il parere di audit e la relazione di controllo di cui all'articolo 127, paragrafo 5, primo comma, lettere a) e b), del presente regolamento per il precedente periodo contabile.</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keepNext/>
              <w:jc w:val="both"/>
              <w:rPr>
                <w:rFonts w:cs="Times New Roman"/>
                <w:b/>
                <w:i/>
                <w:sz w:val="20"/>
                <w:szCs w:val="20"/>
              </w:rPr>
            </w:pPr>
            <w:r w:rsidRPr="00FA2DFA">
              <w:rPr>
                <w:rFonts w:cs="Times New Roman"/>
                <w:b/>
                <w:i/>
                <w:sz w:val="20"/>
                <w:szCs w:val="20"/>
              </w:rPr>
              <w:t>Articolo 139</w:t>
            </w:r>
          </w:p>
          <w:p w:rsidR="00427E50" w:rsidRPr="00FA2DFA" w:rsidRDefault="00427E50" w:rsidP="00077C01">
            <w:pPr>
              <w:keepNext/>
              <w:jc w:val="both"/>
              <w:rPr>
                <w:rFonts w:cs="Times New Roman"/>
                <w:b/>
                <w:i/>
                <w:sz w:val="20"/>
                <w:szCs w:val="20"/>
              </w:rPr>
            </w:pPr>
            <w:r w:rsidRPr="00FA2DFA">
              <w:rPr>
                <w:rFonts w:cs="Times New Roman"/>
                <w:b/>
                <w:i/>
                <w:sz w:val="20"/>
                <w:szCs w:val="20"/>
              </w:rPr>
              <w:t>Esame e accettazione dei conti</w:t>
            </w:r>
          </w:p>
        </w:tc>
        <w:tc>
          <w:tcPr>
            <w:tcW w:w="7138" w:type="dxa"/>
          </w:tcPr>
          <w:p w:rsidR="00427E50" w:rsidRPr="00FA2DFA" w:rsidRDefault="00427E50" w:rsidP="00077C01">
            <w:pPr>
              <w:keepNext/>
              <w:jc w:val="both"/>
              <w:rPr>
                <w:rFonts w:cs="Times New Roman"/>
                <w:b/>
                <w:i/>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1. La Commissione procede a un esame dei documenti presentati dagli Stati membri a norma dell'articolo 138. Su richiesta della Commissione, lo Stato membro fornisce tutte le informazioni supplementari necessarie per consentire alla Commissione di accertare la completezza, l'accuratezza e la veridicità dei conti entro il termine fissato all'articolo 84.</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2. La Commissione accetta i conti ove sia in grado di accertarne la completezza, l'accuratezza e la veridicità. La Commissione raggiunge tale conclusione ove l'autorità di audit abbia fornito un parere di audit non qualificato riguardante la completezza, l'accuratezza e la veridicità dei conti, a meno che la Commissione non disponga di prove specifiche che dimostrino l'inaffidabilità del parere di audit sui conti.</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3. La Commissione comunica allo Stato membro se può accettare i conti entro il termine stabilito all'articolo 84, paragrafo 1.</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4. Se per motivi addebitabili allo Stato membro non è in grado di accettare i conti entro il termine di cui all'articolo 84, paragrafo 1, la Commissione comunica agli Stati membri le ragioni specifiche di cui al paragrafo 2 del presente articolo e le azioni che devono essere avviate e i termini per il loro completamento. Al termine del periodo previsto per il completamento di dette azioni, la Commissione comunica allo Stato membro se è in grado di accettare i conti.</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5. Ai fini dell'accettazione dei conti da parte della Commissione non si tiene conto di questioni connesse alla legittimità e alla regolarità delle operazioni sottostanti riguardanti le spese contabilizzate. La procedura di esame e accettazione dei conti non interrompe il trattamento delle domande di pagamento intermedio e non determina la sospensione dei pagamenti, fatti salvi gli articoli 83 e 142.</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6. Sulla base dei conti accettati, la Commissione calcola l'importo imputabile ai fondi e al FEAMP per il periodo contabile e gli adeguamenti conseguenti in relazione ai pagamenti allo Stato membro. La Commissione tiene conto di quanto segue:</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lastRenderedPageBreak/>
              <w:t>a) gli importi contabilizzati di cui all'articolo 137, paragrafo 1, lettera a), ai quali deve applicarsi il tasso di cofinanziamento per ciascuna priorità;</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b) l'ammontare totale dei pagamenti effettuati dalla Commissione durante il periodo contabile costituiti da:</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i) l'importo dei pagamenti intermedi effettuati dalla Commissione ai sensi dell'articolo 130, paragrafo 1, e dell'articolo 24; e</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ii) l'importo del prefinanziamento annuale versato ai sensi dell'articolo 134, paragrafo 2.</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7. A seguito del calcolo effettuato a norma del paragrafo 6, la Commissione effettua la liquidazione del rispettivo prefinanziamento annuale e versa l'eventuale importo aggiuntivo dovuto entro 30 giorni dall'accettazione dei conti. Qualora esista un importo recuperabile dallo Stato membro, tale importo è soggetto a un ordine di recupero emesso dalla Commissione, che viene eseguito, ove possibile, mediante compensazione degli importi dovuti allo Stato membro nell'ambito di pagamenti successivi al medesimo programma operativo. Tale recupero non costituisce una rettifica finanziaria e non comporta una riduzione del contributo dei fondi al programma operativo. L'importo recuperato costituisce un'entrata con destinazione specifica conformemente all'articolo 177, paragrafo 3, del regolamento finanziario.</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8. Qualora, previa applicazione della procedura di cui al paragrafo 4, non sia in grado di accettare i conti, la Commissione stabilisce, sulla base delle informazioni disponibili e a norma del paragrafo 6, l'importo imputabile ai fondi per il periodo contabile e ne informa lo Stato membro. Se lo Stato membro notifica il suo accordo alla Commissione entro due mesi dalla trasmissione dell'informazione da parte della Commissione, si applica il paragrafo 7. In assenza di tale accordo, la Commissione adotta, mediante atti di esecuzione, una decisione che stabilisce l'importo imputabile ai fondi per l'esercizio contabile. Tale decisione non costituisce una rettifica finanziaria e non comporta una riduzione del contributo dei fondi al programma operativo. Sulla base di tale decisione, la Commissione applica gli adeguamenti dei pagamenti allo Stato membro conformemente al paragrafo 7.</w:t>
            </w:r>
          </w:p>
        </w:tc>
        <w:tc>
          <w:tcPr>
            <w:tcW w:w="7138" w:type="dxa"/>
          </w:tcPr>
          <w:p w:rsidR="00427E50" w:rsidRPr="00FA2DFA" w:rsidRDefault="00427E50" w:rsidP="00077C01">
            <w:pPr>
              <w:jc w:val="both"/>
              <w:rPr>
                <w:rFonts w:cs="Times New Roman"/>
                <w:sz w:val="20"/>
                <w:szCs w:val="20"/>
              </w:rPr>
            </w:pPr>
          </w:p>
        </w:tc>
      </w:tr>
      <w:tr w:rsidR="00427E50" w:rsidRPr="00FA2DFA" w:rsidTr="002D4CD0">
        <w:tc>
          <w:tcPr>
            <w:tcW w:w="7225" w:type="dxa"/>
          </w:tcPr>
          <w:p w:rsidR="00427E50" w:rsidRPr="00FA2DFA" w:rsidRDefault="00427E50" w:rsidP="00077C01">
            <w:pPr>
              <w:jc w:val="both"/>
              <w:rPr>
                <w:rFonts w:cs="Times New Roman"/>
                <w:sz w:val="20"/>
                <w:szCs w:val="20"/>
              </w:rPr>
            </w:pPr>
            <w:r w:rsidRPr="00FA2DFA">
              <w:rPr>
                <w:rFonts w:cs="Times New Roman"/>
                <w:sz w:val="20"/>
                <w:szCs w:val="20"/>
              </w:rPr>
              <w:t>9. L'accettazione dei conti da parte della Commissione o una decisione da parte della Commissione a norma del paragrafo 8 del presente articolo, lascia impregiudicata l'applicazione delle rettifiche a norma degli articoli 144 e 145.</w:t>
            </w:r>
          </w:p>
        </w:tc>
        <w:tc>
          <w:tcPr>
            <w:tcW w:w="7138" w:type="dxa"/>
          </w:tcPr>
          <w:p w:rsidR="00427E50" w:rsidRPr="00FA2DFA" w:rsidRDefault="00427E50" w:rsidP="00077C01">
            <w:pPr>
              <w:jc w:val="both"/>
              <w:rPr>
                <w:rFonts w:cs="Times New Roman"/>
                <w:sz w:val="20"/>
                <w:szCs w:val="20"/>
              </w:rPr>
            </w:pPr>
          </w:p>
        </w:tc>
      </w:tr>
      <w:tr w:rsidR="00897A6F" w:rsidRPr="00FA2DFA" w:rsidTr="001D3BF9">
        <w:tc>
          <w:tcPr>
            <w:tcW w:w="7225" w:type="dxa"/>
          </w:tcPr>
          <w:p w:rsidR="00897A6F" w:rsidRPr="00FA2DFA" w:rsidRDefault="00897A6F" w:rsidP="001D3BF9">
            <w:pPr>
              <w:jc w:val="both"/>
              <w:rPr>
                <w:rFonts w:cs="Times New Roman"/>
                <w:sz w:val="20"/>
                <w:szCs w:val="20"/>
              </w:rPr>
            </w:pPr>
            <w:r w:rsidRPr="00FA2DFA">
              <w:rPr>
                <w:rFonts w:cs="Times New Roman"/>
                <w:sz w:val="20"/>
                <w:szCs w:val="20"/>
              </w:rPr>
              <w:lastRenderedPageBreak/>
              <w:t>10. Gli Stati membri possono sostituire gli importi irregolari individuati dopo la presentazione dei conti effettuando gli adeguamenti corrispondenti nei conti relativi al periodo contabile in cui è individuata l'irregolarità, fatti salvi gli articoli 144 e 145.</w:t>
            </w:r>
          </w:p>
        </w:tc>
        <w:tc>
          <w:tcPr>
            <w:tcW w:w="7138" w:type="dxa"/>
          </w:tcPr>
          <w:p w:rsidR="00897A6F" w:rsidRPr="00FA2DFA" w:rsidRDefault="00897A6F" w:rsidP="001D3BF9">
            <w:pPr>
              <w:jc w:val="both"/>
              <w:rPr>
                <w:rFonts w:cs="Times New Roman"/>
                <w:sz w:val="20"/>
                <w:szCs w:val="20"/>
              </w:rPr>
            </w:pPr>
          </w:p>
        </w:tc>
      </w:tr>
      <w:tr w:rsidR="001F3CE2" w:rsidRPr="0002124C" w:rsidTr="002D4CD0">
        <w:tc>
          <w:tcPr>
            <w:tcW w:w="7225" w:type="dxa"/>
          </w:tcPr>
          <w:p w:rsidR="001F3CE2" w:rsidRPr="0002124C" w:rsidRDefault="001F3CE2" w:rsidP="00DA6748">
            <w:pPr>
              <w:keepNext/>
              <w:jc w:val="both"/>
              <w:rPr>
                <w:rFonts w:cs="Times New Roman"/>
                <w:b/>
                <w:i/>
                <w:sz w:val="20"/>
                <w:szCs w:val="20"/>
              </w:rPr>
            </w:pPr>
            <w:r w:rsidRPr="0002124C">
              <w:rPr>
                <w:rFonts w:cs="Times New Roman"/>
                <w:b/>
                <w:i/>
                <w:sz w:val="20"/>
                <w:szCs w:val="20"/>
              </w:rPr>
              <w:t>Articolo 140</w:t>
            </w:r>
          </w:p>
          <w:p w:rsidR="001F3CE2" w:rsidRPr="0002124C" w:rsidRDefault="001F3CE2" w:rsidP="00DA6748">
            <w:pPr>
              <w:keepNext/>
              <w:jc w:val="both"/>
              <w:rPr>
                <w:rFonts w:cs="Times New Roman"/>
                <w:b/>
                <w:i/>
                <w:sz w:val="20"/>
                <w:szCs w:val="20"/>
              </w:rPr>
            </w:pPr>
            <w:r w:rsidRPr="0002124C">
              <w:rPr>
                <w:rFonts w:cs="Times New Roman"/>
                <w:b/>
                <w:i/>
                <w:sz w:val="20"/>
                <w:szCs w:val="20"/>
              </w:rPr>
              <w:t>Disponibilità dei documenti</w:t>
            </w:r>
          </w:p>
        </w:tc>
        <w:tc>
          <w:tcPr>
            <w:tcW w:w="7138" w:type="dxa"/>
          </w:tcPr>
          <w:p w:rsidR="001F3CE2" w:rsidRPr="0002124C" w:rsidRDefault="001F3CE2" w:rsidP="00DA6748">
            <w:pPr>
              <w:keepNext/>
              <w:jc w:val="both"/>
              <w:rPr>
                <w:rFonts w:cs="Times New Roman"/>
                <w:b/>
                <w:i/>
                <w:sz w:val="20"/>
                <w:szCs w:val="20"/>
              </w:rPr>
            </w:pPr>
            <w:r w:rsidRPr="0002124C">
              <w:rPr>
                <w:rFonts w:cs="Times New Roman"/>
                <w:b/>
                <w:i/>
                <w:sz w:val="20"/>
                <w:szCs w:val="20"/>
              </w:rPr>
              <w:t>Articolo 90</w:t>
            </w:r>
          </w:p>
          <w:p w:rsidR="001F3CE2" w:rsidRPr="0002124C" w:rsidRDefault="001F3CE2" w:rsidP="00DA6748">
            <w:pPr>
              <w:keepNext/>
              <w:jc w:val="both"/>
              <w:rPr>
                <w:rFonts w:cs="Times New Roman"/>
                <w:b/>
                <w:i/>
                <w:sz w:val="20"/>
                <w:szCs w:val="20"/>
              </w:rPr>
            </w:pPr>
            <w:r w:rsidRPr="0002124C">
              <w:rPr>
                <w:rFonts w:cs="Times New Roman"/>
                <w:b/>
                <w:i/>
                <w:sz w:val="20"/>
                <w:szCs w:val="20"/>
              </w:rPr>
              <w:t>Disponibilità dei documenti</w:t>
            </w:r>
          </w:p>
        </w:tc>
      </w:tr>
      <w:tr w:rsidR="001F3CE2" w:rsidRPr="0002124C" w:rsidTr="002D4CD0">
        <w:tc>
          <w:tcPr>
            <w:tcW w:w="7225" w:type="dxa"/>
          </w:tcPr>
          <w:p w:rsidR="001F3CE2" w:rsidRPr="0002124C" w:rsidRDefault="001F3CE2" w:rsidP="00DA6748">
            <w:pPr>
              <w:jc w:val="both"/>
              <w:rPr>
                <w:rFonts w:cs="Times New Roman"/>
                <w:sz w:val="20"/>
                <w:szCs w:val="20"/>
              </w:rPr>
            </w:pPr>
            <w:r w:rsidRPr="0002124C">
              <w:rPr>
                <w:rFonts w:cs="Times New Roman"/>
                <w:sz w:val="20"/>
                <w:szCs w:val="20"/>
              </w:rPr>
              <w:t>1. Fatte salve le norme in materia di aiuti di Stato, l'autorità di gestione assicura che tutti i documenti giustificativi relativi alle spese sostenute dai fondi per operazioni per le quali la spesa totale ammissibile è inferiore a 1 000 000 EUR siano resi disponibili su richiesta alla Commissione e alla Corte dei conti europea per un periodo di tre anni a decorrere dal 31 dicembre successivo alla presentazione dei conti nei quali sono incluse le spese dell'operazione.</w:t>
            </w:r>
          </w:p>
        </w:tc>
        <w:tc>
          <w:tcPr>
            <w:tcW w:w="7138" w:type="dxa"/>
          </w:tcPr>
          <w:p w:rsidR="001F3CE2" w:rsidRPr="0002124C" w:rsidRDefault="001F3CE2" w:rsidP="00DA6748">
            <w:pPr>
              <w:autoSpaceDE w:val="0"/>
              <w:autoSpaceDN w:val="0"/>
              <w:adjustRightInd w:val="0"/>
              <w:rPr>
                <w:rFonts w:cs="Times New Roman"/>
                <w:sz w:val="20"/>
                <w:szCs w:val="20"/>
              </w:rPr>
            </w:pPr>
            <w:r w:rsidRPr="0002124C">
              <w:rPr>
                <w:rFonts w:cs="Times New Roman"/>
                <w:sz w:val="20"/>
                <w:szCs w:val="20"/>
              </w:rPr>
              <w:t xml:space="preserve">1. Fatte salve le norme in materia di aiuti di Stato ai sensi dell'articolo 87 del trattato, l'autorità di gestione assicura che tutti i documenti giustificativi relativi alle spese e alle verifiche del programma operativo in questione siano tenuti a disposizione della Commissione e della Corte dei conti per: </w:t>
            </w:r>
          </w:p>
          <w:p w:rsidR="001F3CE2" w:rsidRPr="0002124C" w:rsidRDefault="001F3CE2" w:rsidP="00DA6748">
            <w:pPr>
              <w:autoSpaceDE w:val="0"/>
              <w:autoSpaceDN w:val="0"/>
              <w:adjustRightInd w:val="0"/>
              <w:rPr>
                <w:rFonts w:cs="Times New Roman"/>
                <w:sz w:val="20"/>
                <w:szCs w:val="20"/>
              </w:rPr>
            </w:pPr>
            <w:r w:rsidRPr="0002124C">
              <w:rPr>
                <w:rFonts w:cs="Times New Roman"/>
                <w:sz w:val="20"/>
                <w:szCs w:val="20"/>
              </w:rPr>
              <w:t>a) i tre anni successivi alla chiusura di un programma operativo ai sensi dell'articolo 89, paragrafo 3;</w:t>
            </w:r>
          </w:p>
          <w:p w:rsidR="001F3CE2" w:rsidRPr="0002124C" w:rsidRDefault="001F3CE2" w:rsidP="00DA6748">
            <w:pPr>
              <w:autoSpaceDE w:val="0"/>
              <w:autoSpaceDN w:val="0"/>
              <w:adjustRightInd w:val="0"/>
              <w:rPr>
                <w:rFonts w:cs="Times New Roman"/>
                <w:sz w:val="20"/>
                <w:szCs w:val="20"/>
              </w:rPr>
            </w:pPr>
            <w:r w:rsidRPr="0002124C">
              <w:rPr>
                <w:rFonts w:cs="Times New Roman"/>
                <w:sz w:val="20"/>
                <w:szCs w:val="20"/>
              </w:rPr>
              <w:t>b) i tre anni successivi all'anno in cui ha avuto luogo la chiusura parziale, per i documenti relativi a spese e verifiche su operazioni di cui al paragrafo 2.</w:t>
            </w:r>
          </w:p>
        </w:tc>
      </w:tr>
      <w:tr w:rsidR="001F3CE2" w:rsidRPr="0002124C" w:rsidTr="002D4CD0">
        <w:tc>
          <w:tcPr>
            <w:tcW w:w="7225" w:type="dxa"/>
          </w:tcPr>
          <w:p w:rsidR="001F3CE2" w:rsidRPr="0002124C" w:rsidRDefault="001F3CE2" w:rsidP="00DA6748">
            <w:pPr>
              <w:jc w:val="both"/>
              <w:rPr>
                <w:rFonts w:cs="Times New Roman"/>
                <w:sz w:val="20"/>
                <w:szCs w:val="20"/>
              </w:rPr>
            </w:pPr>
            <w:r w:rsidRPr="0002124C">
              <w:rPr>
                <w:rFonts w:cs="Times New Roman"/>
                <w:sz w:val="20"/>
                <w:szCs w:val="20"/>
              </w:rPr>
              <w:t>Nel caso di operazioni diverse da quelle di cui al primo comma, tutti i documenti giustificativi sono resi disponibili per un periodo di due anni a decorrere dal 31 dicembre successivo alla presentazione dei conti nei quali sono incluse le spese finali dell'operazione completata.</w:t>
            </w:r>
          </w:p>
        </w:tc>
        <w:tc>
          <w:tcPr>
            <w:tcW w:w="7138" w:type="dxa"/>
          </w:tcPr>
          <w:p w:rsidR="001F3CE2" w:rsidRPr="0002124C" w:rsidRDefault="001F3CE2" w:rsidP="00DA6748">
            <w:pPr>
              <w:jc w:val="both"/>
              <w:rPr>
                <w:rFonts w:cs="Times New Roman"/>
                <w:sz w:val="20"/>
                <w:szCs w:val="20"/>
              </w:rPr>
            </w:pPr>
          </w:p>
        </w:tc>
      </w:tr>
      <w:tr w:rsidR="001F3CE2" w:rsidRPr="0002124C" w:rsidTr="002D4CD0">
        <w:tc>
          <w:tcPr>
            <w:tcW w:w="7225" w:type="dxa"/>
          </w:tcPr>
          <w:p w:rsidR="001F3CE2" w:rsidRPr="0002124C" w:rsidRDefault="001F3CE2" w:rsidP="00DA6748">
            <w:pPr>
              <w:jc w:val="both"/>
              <w:rPr>
                <w:rFonts w:cs="Times New Roman"/>
                <w:sz w:val="20"/>
                <w:szCs w:val="20"/>
              </w:rPr>
            </w:pPr>
          </w:p>
        </w:tc>
        <w:tc>
          <w:tcPr>
            <w:tcW w:w="7138" w:type="dxa"/>
          </w:tcPr>
          <w:p w:rsidR="001F3CE2" w:rsidRPr="0002124C" w:rsidRDefault="001F3CE2" w:rsidP="00DA6748">
            <w:pPr>
              <w:jc w:val="both"/>
              <w:rPr>
                <w:rFonts w:cs="Times New Roman"/>
                <w:sz w:val="20"/>
                <w:szCs w:val="20"/>
              </w:rPr>
            </w:pPr>
            <w:r w:rsidRPr="0002124C">
              <w:rPr>
                <w:rFonts w:cs="Times New Roman"/>
                <w:sz w:val="20"/>
                <w:szCs w:val="20"/>
              </w:rPr>
              <w:t>2. L'autorità di gestione mette a disposizione della Commissione, su richiesta, un elenco delle operazioni completate che sono state oggetto di chiusura parziale ai sensi dell'articolo 88.</w:t>
            </w:r>
          </w:p>
        </w:tc>
      </w:tr>
      <w:tr w:rsidR="001F3CE2" w:rsidRPr="0002124C" w:rsidTr="002D4CD0">
        <w:tc>
          <w:tcPr>
            <w:tcW w:w="7225" w:type="dxa"/>
          </w:tcPr>
          <w:p w:rsidR="001F3CE2" w:rsidRPr="0002124C" w:rsidRDefault="001F3CE2" w:rsidP="00DA6748">
            <w:pPr>
              <w:jc w:val="both"/>
              <w:rPr>
                <w:rFonts w:cs="Times New Roman"/>
                <w:sz w:val="20"/>
                <w:szCs w:val="20"/>
              </w:rPr>
            </w:pPr>
            <w:r w:rsidRPr="0002124C">
              <w:rPr>
                <w:rFonts w:cs="Times New Roman"/>
                <w:sz w:val="20"/>
                <w:szCs w:val="20"/>
              </w:rPr>
              <w:t>Un'autorità di gestione può decidere di applicare alle operazioni con spese ammissibili per un totale inferiore a 1 000 000 EUR la norma di cui al secondo comma.</w:t>
            </w:r>
          </w:p>
        </w:tc>
        <w:tc>
          <w:tcPr>
            <w:tcW w:w="7138" w:type="dxa"/>
          </w:tcPr>
          <w:p w:rsidR="001F3CE2" w:rsidRPr="0002124C" w:rsidRDefault="001F3CE2" w:rsidP="00DA6748">
            <w:pPr>
              <w:jc w:val="both"/>
              <w:rPr>
                <w:rFonts w:cs="Times New Roman"/>
                <w:sz w:val="20"/>
                <w:szCs w:val="20"/>
              </w:rPr>
            </w:pPr>
          </w:p>
        </w:tc>
      </w:tr>
      <w:tr w:rsidR="001F3CE2" w:rsidRPr="0002124C" w:rsidTr="002D4CD0">
        <w:tc>
          <w:tcPr>
            <w:tcW w:w="7225" w:type="dxa"/>
          </w:tcPr>
          <w:p w:rsidR="001F3CE2" w:rsidRPr="0002124C" w:rsidRDefault="001F3CE2" w:rsidP="00DA6748">
            <w:pPr>
              <w:jc w:val="both"/>
              <w:rPr>
                <w:rFonts w:cs="Times New Roman"/>
                <w:sz w:val="20"/>
                <w:szCs w:val="20"/>
              </w:rPr>
            </w:pPr>
            <w:r w:rsidRPr="0002124C">
              <w:rPr>
                <w:rFonts w:cs="Times New Roman"/>
                <w:sz w:val="20"/>
                <w:szCs w:val="20"/>
              </w:rPr>
              <w:t>Il periodo di tempo di cui al primo comma è interrotto in caso di procedimento giudiziario o su richiesta debitamente motivata della Commissione.</w:t>
            </w:r>
          </w:p>
        </w:tc>
        <w:tc>
          <w:tcPr>
            <w:tcW w:w="7138" w:type="dxa"/>
          </w:tcPr>
          <w:p w:rsidR="001F3CE2" w:rsidRPr="0002124C" w:rsidRDefault="001F3CE2" w:rsidP="00DA6748">
            <w:pPr>
              <w:jc w:val="both"/>
              <w:rPr>
                <w:rFonts w:cs="Times New Roman"/>
                <w:sz w:val="20"/>
                <w:szCs w:val="20"/>
              </w:rPr>
            </w:pPr>
            <w:r w:rsidRPr="0002124C">
              <w:rPr>
                <w:rFonts w:cs="Times New Roman"/>
                <w:sz w:val="20"/>
                <w:szCs w:val="20"/>
              </w:rPr>
              <w:t>La decorrenza di detti periodi è sospesa in caso di procedimento giudiziario o su richiesta debitamente motivata della Commissione.</w:t>
            </w:r>
          </w:p>
        </w:tc>
      </w:tr>
      <w:tr w:rsidR="001F3CE2" w:rsidRPr="0002124C" w:rsidTr="002D4CD0">
        <w:tc>
          <w:tcPr>
            <w:tcW w:w="7225" w:type="dxa"/>
          </w:tcPr>
          <w:p w:rsidR="001F3CE2" w:rsidRPr="0002124C" w:rsidRDefault="001F3CE2" w:rsidP="00DA6748">
            <w:pPr>
              <w:jc w:val="both"/>
              <w:rPr>
                <w:rFonts w:cs="Times New Roman"/>
                <w:sz w:val="20"/>
                <w:szCs w:val="20"/>
              </w:rPr>
            </w:pPr>
            <w:r w:rsidRPr="0002124C">
              <w:rPr>
                <w:rFonts w:cs="Times New Roman"/>
                <w:sz w:val="20"/>
                <w:szCs w:val="20"/>
              </w:rPr>
              <w:t>2. L'autorità di gestione informa i beneficiari della data di inizio del periodo di cui al paragrafo 1.</w:t>
            </w:r>
          </w:p>
        </w:tc>
        <w:tc>
          <w:tcPr>
            <w:tcW w:w="7138" w:type="dxa"/>
          </w:tcPr>
          <w:p w:rsidR="001F3CE2" w:rsidRPr="0002124C" w:rsidRDefault="001F3CE2" w:rsidP="00DA6748">
            <w:pPr>
              <w:jc w:val="both"/>
              <w:rPr>
                <w:rFonts w:cs="Times New Roman"/>
                <w:sz w:val="20"/>
                <w:szCs w:val="20"/>
              </w:rPr>
            </w:pPr>
          </w:p>
        </w:tc>
      </w:tr>
      <w:tr w:rsidR="001F3CE2" w:rsidRPr="0002124C" w:rsidTr="002D4CD0">
        <w:tc>
          <w:tcPr>
            <w:tcW w:w="7225" w:type="dxa"/>
          </w:tcPr>
          <w:p w:rsidR="001F3CE2" w:rsidRPr="0002124C" w:rsidRDefault="001F3CE2" w:rsidP="00DA6748">
            <w:pPr>
              <w:jc w:val="both"/>
              <w:rPr>
                <w:rFonts w:cs="Times New Roman"/>
                <w:sz w:val="20"/>
                <w:szCs w:val="20"/>
              </w:rPr>
            </w:pPr>
            <w:r w:rsidRPr="0002124C">
              <w:rPr>
                <w:rFonts w:cs="Times New Roman"/>
                <w:sz w:val="20"/>
                <w:szCs w:val="20"/>
              </w:rPr>
              <w:t>3. I documenti sono conservati sotto forma di originali o di copie autenticate, o su supporti per i dati comunemente accettati, comprese le versioni elettroniche di documenti originali o i documenti esistenti esclusivamente in versione elettronica.</w:t>
            </w:r>
          </w:p>
        </w:tc>
        <w:tc>
          <w:tcPr>
            <w:tcW w:w="7138" w:type="dxa"/>
          </w:tcPr>
          <w:p w:rsidR="001F3CE2" w:rsidRPr="0002124C" w:rsidRDefault="001F3CE2" w:rsidP="00DA6748">
            <w:pPr>
              <w:jc w:val="both"/>
              <w:rPr>
                <w:rFonts w:cs="Times New Roman"/>
                <w:sz w:val="20"/>
                <w:szCs w:val="20"/>
              </w:rPr>
            </w:pPr>
            <w:r w:rsidRPr="0002124C">
              <w:rPr>
                <w:rFonts w:cs="Times New Roman"/>
                <w:sz w:val="20"/>
                <w:szCs w:val="20"/>
              </w:rPr>
              <w:t>3. I documenti sono conservati sotto forma di originali o di copie autenticate su supporti comunemente accettati.</w:t>
            </w:r>
          </w:p>
        </w:tc>
      </w:tr>
      <w:tr w:rsidR="001F3CE2" w:rsidRPr="0002124C" w:rsidTr="002D4CD0">
        <w:tc>
          <w:tcPr>
            <w:tcW w:w="7225" w:type="dxa"/>
          </w:tcPr>
          <w:p w:rsidR="001F3CE2" w:rsidRPr="0002124C" w:rsidRDefault="001F3CE2" w:rsidP="00DA6748">
            <w:pPr>
              <w:jc w:val="both"/>
              <w:rPr>
                <w:rFonts w:cs="Times New Roman"/>
                <w:sz w:val="20"/>
                <w:szCs w:val="20"/>
              </w:rPr>
            </w:pPr>
            <w:r w:rsidRPr="0002124C">
              <w:rPr>
                <w:rFonts w:cs="Times New Roman"/>
                <w:sz w:val="20"/>
                <w:szCs w:val="20"/>
              </w:rPr>
              <w:lastRenderedPageBreak/>
              <w:t>4. I documenti sono conservati in una forma tale da consentire l'identificazione delle persone interessate solo per il periodo necessario al conseguimento delle finalità per le quali i dati sono rilevati o successivamente trattati.</w:t>
            </w:r>
          </w:p>
        </w:tc>
        <w:tc>
          <w:tcPr>
            <w:tcW w:w="7138" w:type="dxa"/>
          </w:tcPr>
          <w:p w:rsidR="001F3CE2" w:rsidRPr="0002124C" w:rsidRDefault="001F3CE2" w:rsidP="00DA6748">
            <w:pPr>
              <w:jc w:val="both"/>
              <w:rPr>
                <w:rFonts w:cs="Times New Roman"/>
                <w:sz w:val="20"/>
                <w:szCs w:val="20"/>
              </w:rPr>
            </w:pPr>
          </w:p>
        </w:tc>
      </w:tr>
      <w:tr w:rsidR="001F3CE2" w:rsidRPr="0002124C" w:rsidTr="002D4CD0">
        <w:tc>
          <w:tcPr>
            <w:tcW w:w="7225" w:type="dxa"/>
          </w:tcPr>
          <w:p w:rsidR="001F3CE2" w:rsidRPr="0002124C" w:rsidRDefault="001F3CE2" w:rsidP="00DA6748">
            <w:pPr>
              <w:jc w:val="both"/>
              <w:rPr>
                <w:rFonts w:cs="Times New Roman"/>
                <w:sz w:val="20"/>
                <w:szCs w:val="20"/>
              </w:rPr>
            </w:pPr>
            <w:r w:rsidRPr="0002124C">
              <w:rPr>
                <w:rFonts w:cs="Times New Roman"/>
                <w:sz w:val="20"/>
                <w:szCs w:val="20"/>
              </w:rPr>
              <w:t>5. La procedura per la certificazione della conformità dei documenti conservati su supporti comunemente accettati al documento originale è stabilita dalle autorità nazionali e garantisce che le versioni conservate rispettino i requisiti giuridici nazionali e siano affidabili ai fini dell'attività di audit.</w:t>
            </w:r>
          </w:p>
        </w:tc>
        <w:tc>
          <w:tcPr>
            <w:tcW w:w="7138" w:type="dxa"/>
          </w:tcPr>
          <w:p w:rsidR="001F3CE2" w:rsidRPr="0002124C" w:rsidRDefault="001F3CE2" w:rsidP="00DA6748">
            <w:pPr>
              <w:jc w:val="both"/>
              <w:rPr>
                <w:rFonts w:cs="Times New Roman"/>
                <w:sz w:val="20"/>
                <w:szCs w:val="20"/>
              </w:rPr>
            </w:pPr>
          </w:p>
        </w:tc>
      </w:tr>
      <w:tr w:rsidR="001F3CE2" w:rsidRPr="0002124C" w:rsidTr="002D4CD0">
        <w:tc>
          <w:tcPr>
            <w:tcW w:w="7225" w:type="dxa"/>
          </w:tcPr>
          <w:p w:rsidR="001F3CE2" w:rsidRPr="0002124C" w:rsidRDefault="001F3CE2" w:rsidP="00DA6748">
            <w:pPr>
              <w:jc w:val="both"/>
              <w:rPr>
                <w:rFonts w:cs="Times New Roman"/>
                <w:sz w:val="20"/>
                <w:szCs w:val="20"/>
              </w:rPr>
            </w:pPr>
            <w:r w:rsidRPr="0002124C">
              <w:rPr>
                <w:rFonts w:cs="Times New Roman"/>
                <w:sz w:val="20"/>
                <w:szCs w:val="20"/>
              </w:rPr>
              <w:t>6. Laddove i documenti siano disponibili esclusivamente in formato elettronico, i sistemi informatici utilizzati soddisfano gli standard di sicurezza accettati, che garantiscono che i documenti conservati rispettino i requisiti giuridici nazionali e siano affidabili ai fini dell'attività di audit.</w:t>
            </w:r>
          </w:p>
        </w:tc>
        <w:tc>
          <w:tcPr>
            <w:tcW w:w="7138" w:type="dxa"/>
          </w:tcPr>
          <w:p w:rsidR="001F3CE2" w:rsidRPr="0002124C" w:rsidRDefault="001F3CE2" w:rsidP="00DA6748">
            <w:pPr>
              <w:jc w:val="both"/>
              <w:rPr>
                <w:rFonts w:cs="Times New Roman"/>
                <w:sz w:val="20"/>
                <w:szCs w:val="20"/>
              </w:rPr>
            </w:pPr>
          </w:p>
        </w:tc>
      </w:tr>
      <w:tr w:rsidR="002D4CD0" w:rsidRPr="0002124C" w:rsidTr="002D4CD0">
        <w:tc>
          <w:tcPr>
            <w:tcW w:w="7225" w:type="dxa"/>
          </w:tcPr>
          <w:p w:rsidR="002D4CD0" w:rsidRPr="0002124C" w:rsidRDefault="002D4CD0" w:rsidP="009A4ED5">
            <w:pPr>
              <w:pStyle w:val="Sottotitolo"/>
              <w:jc w:val="center"/>
              <w:rPr>
                <w:rFonts w:ascii="Times New Roman" w:hAnsi="Times New Roman" w:cs="Times New Roman"/>
                <w:color w:val="auto"/>
                <w:sz w:val="20"/>
                <w:szCs w:val="20"/>
              </w:rPr>
            </w:pPr>
            <w:r w:rsidRPr="0002124C">
              <w:rPr>
                <w:rFonts w:ascii="Times New Roman" w:hAnsi="Times New Roman" w:cs="Times New Roman"/>
                <w:color w:val="auto"/>
                <w:sz w:val="20"/>
                <w:szCs w:val="20"/>
              </w:rPr>
              <w:t>SEZIONE II</w:t>
            </w:r>
          </w:p>
          <w:p w:rsidR="002D4CD0" w:rsidRPr="0002124C" w:rsidRDefault="002D4CD0" w:rsidP="009A4ED5">
            <w:pPr>
              <w:pStyle w:val="Sottotitolo"/>
              <w:jc w:val="center"/>
              <w:rPr>
                <w:rFonts w:ascii="Times New Roman" w:hAnsi="Times New Roman" w:cs="Times New Roman"/>
                <w:sz w:val="20"/>
                <w:szCs w:val="20"/>
              </w:rPr>
            </w:pPr>
            <w:r w:rsidRPr="0002124C">
              <w:rPr>
                <w:rFonts w:ascii="Times New Roman" w:hAnsi="Times New Roman" w:cs="Times New Roman"/>
                <w:color w:val="auto"/>
                <w:sz w:val="20"/>
                <w:szCs w:val="20"/>
              </w:rPr>
              <w:t>Chiusura di programmi operativi</w:t>
            </w:r>
          </w:p>
        </w:tc>
        <w:tc>
          <w:tcPr>
            <w:tcW w:w="7138" w:type="dxa"/>
          </w:tcPr>
          <w:p w:rsidR="002D4CD0" w:rsidRPr="0002124C" w:rsidRDefault="002D4CD0" w:rsidP="009A4ED5">
            <w:pPr>
              <w:jc w:val="center"/>
              <w:rPr>
                <w:rFonts w:cs="Times New Roman"/>
                <w:sz w:val="20"/>
                <w:szCs w:val="20"/>
              </w:rPr>
            </w:pPr>
          </w:p>
        </w:tc>
      </w:tr>
      <w:tr w:rsidR="002D4CD0" w:rsidRPr="0002124C" w:rsidTr="002D4CD0">
        <w:tc>
          <w:tcPr>
            <w:tcW w:w="7225" w:type="dxa"/>
          </w:tcPr>
          <w:p w:rsidR="002D4CD0" w:rsidRPr="0002124C" w:rsidRDefault="002D4CD0" w:rsidP="009A4ED5">
            <w:pPr>
              <w:jc w:val="both"/>
              <w:rPr>
                <w:rFonts w:cs="Times New Roman"/>
                <w:b/>
                <w:i/>
                <w:sz w:val="20"/>
                <w:szCs w:val="20"/>
              </w:rPr>
            </w:pPr>
            <w:r w:rsidRPr="0002124C">
              <w:rPr>
                <w:rFonts w:cs="Times New Roman"/>
                <w:b/>
                <w:i/>
                <w:sz w:val="20"/>
                <w:szCs w:val="20"/>
              </w:rPr>
              <w:t>Articolo 141</w:t>
            </w:r>
          </w:p>
          <w:p w:rsidR="002D4CD0" w:rsidRPr="0002124C" w:rsidRDefault="002D4CD0" w:rsidP="009A4ED5">
            <w:pPr>
              <w:jc w:val="both"/>
              <w:rPr>
                <w:rFonts w:cs="Times New Roman"/>
                <w:b/>
                <w:i/>
                <w:sz w:val="20"/>
                <w:szCs w:val="20"/>
              </w:rPr>
            </w:pPr>
            <w:r w:rsidRPr="0002124C">
              <w:rPr>
                <w:rFonts w:cs="Times New Roman"/>
                <w:b/>
                <w:i/>
                <w:sz w:val="20"/>
                <w:szCs w:val="20"/>
              </w:rPr>
              <w:t>Presentazione dei documenti di chiusura e pagamento del saldo finale</w:t>
            </w:r>
          </w:p>
        </w:tc>
        <w:tc>
          <w:tcPr>
            <w:tcW w:w="7138" w:type="dxa"/>
          </w:tcPr>
          <w:p w:rsidR="002D4CD0" w:rsidRPr="0002124C" w:rsidRDefault="002D4CD0" w:rsidP="009A4ED5">
            <w:pPr>
              <w:jc w:val="both"/>
              <w:rPr>
                <w:rFonts w:cs="Times New Roman"/>
                <w:b/>
                <w:i/>
                <w:sz w:val="20"/>
                <w:szCs w:val="20"/>
              </w:rPr>
            </w:pPr>
            <w:r w:rsidRPr="0002124C">
              <w:rPr>
                <w:rFonts w:cs="Times New Roman"/>
                <w:b/>
                <w:i/>
                <w:sz w:val="20"/>
                <w:szCs w:val="20"/>
              </w:rPr>
              <w:t>Articolo 89</w:t>
            </w:r>
          </w:p>
          <w:p w:rsidR="002D4CD0" w:rsidRPr="0002124C" w:rsidRDefault="002D4CD0" w:rsidP="009A4ED5">
            <w:pPr>
              <w:jc w:val="both"/>
              <w:rPr>
                <w:rFonts w:cs="Times New Roman"/>
                <w:b/>
                <w:i/>
                <w:sz w:val="20"/>
                <w:szCs w:val="20"/>
              </w:rPr>
            </w:pPr>
            <w:r w:rsidRPr="0002124C">
              <w:rPr>
                <w:rFonts w:cs="Times New Roman"/>
                <w:b/>
                <w:i/>
                <w:sz w:val="20"/>
                <w:szCs w:val="20"/>
              </w:rPr>
              <w:t>Condizioni per il pagamento del saldo finale</w:t>
            </w:r>
          </w:p>
        </w:tc>
      </w:tr>
      <w:tr w:rsidR="002D4CD0" w:rsidRPr="0002124C" w:rsidTr="002D4CD0">
        <w:tc>
          <w:tcPr>
            <w:tcW w:w="7225" w:type="dxa"/>
          </w:tcPr>
          <w:p w:rsidR="002D4CD0" w:rsidRPr="0002124C" w:rsidRDefault="002D4CD0" w:rsidP="009A4ED5">
            <w:pPr>
              <w:jc w:val="both"/>
              <w:rPr>
                <w:rFonts w:cs="Times New Roman"/>
                <w:sz w:val="20"/>
                <w:szCs w:val="20"/>
              </w:rPr>
            </w:pPr>
            <w:r w:rsidRPr="0002124C">
              <w:rPr>
                <w:rFonts w:cs="Times New Roman"/>
                <w:sz w:val="20"/>
                <w:szCs w:val="20"/>
              </w:rPr>
              <w:t>1. Oltre ai documenti di cui all'articolo 138, per il periodo contabile dal 1 o luglio 2023 al 30 giugno 2024 gli Stati membri presentano la relazione di attuazione finale del programma operativo o l'ultima relazione di attuazione annuale del programma operativo sostenuto dal FEAMP.</w:t>
            </w:r>
          </w:p>
        </w:tc>
        <w:tc>
          <w:tcPr>
            <w:tcW w:w="7138" w:type="dxa"/>
          </w:tcPr>
          <w:p w:rsidR="002D4CD0" w:rsidRPr="0002124C" w:rsidRDefault="002D4CD0" w:rsidP="009A4ED5">
            <w:pPr>
              <w:jc w:val="both"/>
              <w:rPr>
                <w:rFonts w:cs="Times New Roman"/>
                <w:sz w:val="20"/>
                <w:szCs w:val="20"/>
              </w:rPr>
            </w:pPr>
            <w:r w:rsidRPr="0002124C">
              <w:rPr>
                <w:rFonts w:cs="Times New Roman"/>
                <w:sz w:val="20"/>
                <w:szCs w:val="20"/>
              </w:rPr>
              <w:t>1. La Commissione provvede al pagamento del saldo finale a condizione che:</w:t>
            </w:r>
          </w:p>
          <w:p w:rsidR="002D4CD0" w:rsidRPr="0002124C" w:rsidRDefault="002D4CD0" w:rsidP="009A4ED5">
            <w:pPr>
              <w:jc w:val="both"/>
              <w:rPr>
                <w:rFonts w:cs="Times New Roman"/>
                <w:sz w:val="20"/>
                <w:szCs w:val="20"/>
              </w:rPr>
            </w:pPr>
            <w:r w:rsidRPr="0002124C">
              <w:rPr>
                <w:rFonts w:cs="Times New Roman"/>
                <w:sz w:val="20"/>
                <w:szCs w:val="20"/>
              </w:rPr>
              <w:t>a) lo Stato membro abbia inviato entro il 31 marzo 2017 una domanda di pagamento che includa la documentazione seguente:</w:t>
            </w:r>
          </w:p>
          <w:p w:rsidR="002D4CD0" w:rsidRPr="0002124C" w:rsidRDefault="002D4CD0" w:rsidP="009A4ED5">
            <w:pPr>
              <w:jc w:val="both"/>
              <w:rPr>
                <w:rFonts w:cs="Times New Roman"/>
                <w:sz w:val="20"/>
                <w:szCs w:val="20"/>
              </w:rPr>
            </w:pPr>
            <w:r w:rsidRPr="0002124C">
              <w:rPr>
                <w:rFonts w:cs="Times New Roman"/>
                <w:sz w:val="20"/>
                <w:szCs w:val="20"/>
              </w:rPr>
              <w:t>i) una domanda di pagamento del saldo finale e una dichiarazione di spesa, conformemente all'articolo 78;</w:t>
            </w:r>
          </w:p>
          <w:p w:rsidR="002D4CD0" w:rsidRPr="0002124C" w:rsidRDefault="002D4CD0" w:rsidP="009A4ED5">
            <w:pPr>
              <w:jc w:val="both"/>
              <w:rPr>
                <w:rFonts w:cs="Times New Roman"/>
                <w:sz w:val="20"/>
                <w:szCs w:val="20"/>
              </w:rPr>
            </w:pPr>
            <w:r w:rsidRPr="0002124C">
              <w:rPr>
                <w:rFonts w:cs="Times New Roman"/>
                <w:sz w:val="20"/>
                <w:szCs w:val="20"/>
              </w:rPr>
              <w:t>ii) il rapporto finale di esecuzione del programma operativo, comprendente le informazioni di cui all'articolo 67;</w:t>
            </w:r>
          </w:p>
          <w:p w:rsidR="002D4CD0" w:rsidRPr="0002124C" w:rsidRDefault="002D4CD0" w:rsidP="009A4ED5">
            <w:pPr>
              <w:jc w:val="both"/>
              <w:rPr>
                <w:rFonts w:cs="Times New Roman"/>
                <w:sz w:val="20"/>
                <w:szCs w:val="20"/>
              </w:rPr>
            </w:pPr>
            <w:r w:rsidRPr="0002124C">
              <w:rPr>
                <w:rFonts w:cs="Times New Roman"/>
                <w:sz w:val="20"/>
                <w:szCs w:val="20"/>
              </w:rPr>
              <w:t>iii) una dichiarazione di chiusura di cui all'articolo 62, paragrafo 1, lettera e); e</w:t>
            </w:r>
          </w:p>
          <w:p w:rsidR="002D4CD0" w:rsidRPr="0002124C" w:rsidRDefault="002D4CD0" w:rsidP="009A4ED5">
            <w:pPr>
              <w:jc w:val="both"/>
              <w:rPr>
                <w:rFonts w:cs="Times New Roman"/>
                <w:sz w:val="20"/>
                <w:szCs w:val="20"/>
              </w:rPr>
            </w:pPr>
            <w:r w:rsidRPr="0002124C">
              <w:rPr>
                <w:rFonts w:cs="Times New Roman"/>
                <w:sz w:val="20"/>
                <w:szCs w:val="20"/>
              </w:rPr>
              <w:t>b) non vi sia un parere motivato della Commissione per infrazione ai sensi dell'articolo 226 del trattato, in relazione ad operazioni le cui spese sono dichiarate nella domanda di pagamento in questione.</w:t>
            </w:r>
          </w:p>
        </w:tc>
      </w:tr>
      <w:tr w:rsidR="002D4CD0" w:rsidRPr="0002124C" w:rsidTr="002D4CD0">
        <w:tc>
          <w:tcPr>
            <w:tcW w:w="7225" w:type="dxa"/>
          </w:tcPr>
          <w:p w:rsidR="002D4CD0" w:rsidRPr="0002124C" w:rsidRDefault="002D4CD0" w:rsidP="009A4ED5">
            <w:pPr>
              <w:jc w:val="both"/>
              <w:rPr>
                <w:rFonts w:cs="Times New Roman"/>
                <w:sz w:val="20"/>
                <w:szCs w:val="20"/>
              </w:rPr>
            </w:pPr>
          </w:p>
        </w:tc>
        <w:tc>
          <w:tcPr>
            <w:tcW w:w="7138" w:type="dxa"/>
          </w:tcPr>
          <w:p w:rsidR="002D4CD0" w:rsidRPr="0002124C" w:rsidRDefault="002D4CD0" w:rsidP="009A4ED5">
            <w:pPr>
              <w:jc w:val="both"/>
              <w:rPr>
                <w:rFonts w:cs="Times New Roman"/>
                <w:sz w:val="20"/>
                <w:szCs w:val="20"/>
              </w:rPr>
            </w:pPr>
            <w:r w:rsidRPr="0002124C">
              <w:rPr>
                <w:rFonts w:cs="Times New Roman"/>
                <w:sz w:val="20"/>
                <w:szCs w:val="20"/>
              </w:rPr>
              <w:t>2. Il mancato invio alla Commissione di uno dei documenti di cui al paragrafo 1 comporta il disimpegno automatico del saldo finale, conformemente all'articolo 93.</w:t>
            </w:r>
          </w:p>
        </w:tc>
      </w:tr>
      <w:tr w:rsidR="002D4CD0" w:rsidRPr="0002124C" w:rsidTr="002D4CD0">
        <w:tc>
          <w:tcPr>
            <w:tcW w:w="7225" w:type="dxa"/>
          </w:tcPr>
          <w:p w:rsidR="002D4CD0" w:rsidRPr="0002124C" w:rsidRDefault="002D4CD0" w:rsidP="009A4ED5">
            <w:pPr>
              <w:keepNext/>
              <w:jc w:val="both"/>
              <w:rPr>
                <w:rFonts w:cs="Times New Roman"/>
                <w:sz w:val="20"/>
                <w:szCs w:val="20"/>
              </w:rPr>
            </w:pPr>
          </w:p>
        </w:tc>
        <w:tc>
          <w:tcPr>
            <w:tcW w:w="7138" w:type="dxa"/>
          </w:tcPr>
          <w:p w:rsidR="002D4CD0" w:rsidRPr="0002124C" w:rsidRDefault="002D4CD0" w:rsidP="009A4ED5">
            <w:pPr>
              <w:keepNext/>
              <w:jc w:val="both"/>
              <w:rPr>
                <w:rFonts w:cs="Times New Roman"/>
                <w:sz w:val="20"/>
                <w:szCs w:val="20"/>
              </w:rPr>
            </w:pPr>
            <w:r w:rsidRPr="0002124C">
              <w:rPr>
                <w:rFonts w:cs="Times New Roman"/>
                <w:sz w:val="20"/>
                <w:szCs w:val="20"/>
              </w:rPr>
              <w:t>3. La Commissione informa lo Stato membro del suo parere riguardo al contenuto della dichiarazione di chiusura di cui al paragrafo 1, lettera a), punto iii), entro cinque mesi dalla data di ricezione. La dichiarazione di chiusura si considera accettata se la Commissione non formula osservazioni entro il suddetto periodo di cinque mesi.</w:t>
            </w:r>
          </w:p>
        </w:tc>
      </w:tr>
      <w:tr w:rsidR="002D4CD0" w:rsidRPr="0002124C" w:rsidTr="002D4CD0">
        <w:tc>
          <w:tcPr>
            <w:tcW w:w="7225" w:type="dxa"/>
          </w:tcPr>
          <w:p w:rsidR="002D4CD0" w:rsidRPr="0002124C" w:rsidRDefault="002D4CD0" w:rsidP="009A4ED5">
            <w:pPr>
              <w:jc w:val="both"/>
              <w:rPr>
                <w:rFonts w:cs="Times New Roman"/>
                <w:sz w:val="20"/>
                <w:szCs w:val="20"/>
              </w:rPr>
            </w:pPr>
            <w:r w:rsidRPr="0002124C">
              <w:rPr>
                <w:rFonts w:cs="Times New Roman"/>
                <w:sz w:val="20"/>
                <w:szCs w:val="20"/>
              </w:rPr>
              <w:t>2. Il pagamento del saldo finale avviene entro tre mesi dalla data di accettazione dei conti del periodo contabile finale o entro un mese dalla data di accettazione della relazione di attuazione finale, se successiva.</w:t>
            </w:r>
          </w:p>
        </w:tc>
        <w:tc>
          <w:tcPr>
            <w:tcW w:w="7138" w:type="dxa"/>
          </w:tcPr>
          <w:p w:rsidR="002D4CD0" w:rsidRPr="0002124C" w:rsidRDefault="002D4CD0" w:rsidP="009A4ED5">
            <w:pPr>
              <w:jc w:val="both"/>
              <w:rPr>
                <w:rFonts w:cs="Times New Roman"/>
                <w:sz w:val="20"/>
                <w:szCs w:val="20"/>
              </w:rPr>
            </w:pPr>
            <w:r w:rsidRPr="0002124C">
              <w:rPr>
                <w:rFonts w:cs="Times New Roman"/>
                <w:sz w:val="20"/>
                <w:szCs w:val="20"/>
              </w:rPr>
              <w:t>4. Compatibilmente con la disponibilità di fondi, la Commissione procede al pagamento del saldo finale entro e non oltre quarantacinque giorni dall'ultima delle seguenti date:</w:t>
            </w:r>
          </w:p>
          <w:p w:rsidR="002D4CD0" w:rsidRPr="0002124C" w:rsidRDefault="002D4CD0" w:rsidP="009A4ED5">
            <w:pPr>
              <w:jc w:val="both"/>
              <w:rPr>
                <w:rFonts w:cs="Times New Roman"/>
                <w:sz w:val="20"/>
                <w:szCs w:val="20"/>
              </w:rPr>
            </w:pPr>
            <w:r w:rsidRPr="0002124C">
              <w:rPr>
                <w:rFonts w:cs="Times New Roman"/>
                <w:sz w:val="20"/>
                <w:szCs w:val="20"/>
              </w:rPr>
              <w:t>a) data di accettazione del rapporto finale conformemente all'articolo 67, paragrafo 4; e</w:t>
            </w:r>
          </w:p>
          <w:p w:rsidR="002D4CD0" w:rsidRPr="0002124C" w:rsidRDefault="002D4CD0" w:rsidP="009A4ED5">
            <w:pPr>
              <w:jc w:val="both"/>
              <w:rPr>
                <w:rFonts w:cs="Times New Roman"/>
                <w:sz w:val="20"/>
                <w:szCs w:val="20"/>
              </w:rPr>
            </w:pPr>
            <w:r w:rsidRPr="0002124C">
              <w:rPr>
                <w:rFonts w:cs="Times New Roman"/>
                <w:sz w:val="20"/>
                <w:szCs w:val="20"/>
              </w:rPr>
              <w:t>b) data di accettazione della dichiarazione di chiusura di cui al paragrafo 1, lettera a), punto iii), del presente articolo.</w:t>
            </w:r>
          </w:p>
        </w:tc>
      </w:tr>
      <w:tr w:rsidR="002D4CD0" w:rsidRPr="0002124C" w:rsidTr="002D4CD0">
        <w:tc>
          <w:tcPr>
            <w:tcW w:w="7225" w:type="dxa"/>
          </w:tcPr>
          <w:p w:rsidR="002D4CD0" w:rsidRPr="0002124C" w:rsidRDefault="002D4CD0" w:rsidP="009A4ED5">
            <w:pPr>
              <w:jc w:val="both"/>
              <w:rPr>
                <w:rFonts w:cs="Times New Roman"/>
                <w:sz w:val="20"/>
                <w:szCs w:val="20"/>
              </w:rPr>
            </w:pPr>
          </w:p>
        </w:tc>
        <w:tc>
          <w:tcPr>
            <w:tcW w:w="7138" w:type="dxa"/>
          </w:tcPr>
          <w:p w:rsidR="002D4CD0" w:rsidRPr="0002124C" w:rsidRDefault="002D4CD0" w:rsidP="009A4ED5">
            <w:pPr>
              <w:jc w:val="both"/>
              <w:rPr>
                <w:rFonts w:cs="Times New Roman"/>
                <w:sz w:val="20"/>
                <w:szCs w:val="20"/>
              </w:rPr>
            </w:pPr>
            <w:r w:rsidRPr="0002124C">
              <w:rPr>
                <w:rFonts w:cs="Times New Roman"/>
                <w:sz w:val="20"/>
                <w:szCs w:val="20"/>
              </w:rPr>
              <w:t>5. Fatto salvo il paragrafo 6, il saldo dell'impegno di bilancio è disimpegnato dodici mesi dopo il pagamento. Il programma operativo è chiuso alla prima delle seguenti tre date:</w:t>
            </w:r>
          </w:p>
          <w:p w:rsidR="002D4CD0" w:rsidRPr="0002124C" w:rsidRDefault="002D4CD0" w:rsidP="009A4ED5">
            <w:pPr>
              <w:jc w:val="both"/>
              <w:rPr>
                <w:rFonts w:cs="Times New Roman"/>
                <w:sz w:val="20"/>
                <w:szCs w:val="20"/>
              </w:rPr>
            </w:pPr>
            <w:r w:rsidRPr="0002124C">
              <w:rPr>
                <w:rFonts w:cs="Times New Roman"/>
                <w:sz w:val="20"/>
                <w:szCs w:val="20"/>
              </w:rPr>
              <w:t>a) la data di pagamento del saldo finale definito dalla Commissione in base ai documenti di cui al paragrafo 1;</w:t>
            </w:r>
          </w:p>
          <w:p w:rsidR="002D4CD0" w:rsidRPr="0002124C" w:rsidRDefault="002D4CD0" w:rsidP="009A4ED5">
            <w:pPr>
              <w:jc w:val="both"/>
              <w:rPr>
                <w:rFonts w:cs="Times New Roman"/>
                <w:sz w:val="20"/>
                <w:szCs w:val="20"/>
              </w:rPr>
            </w:pPr>
            <w:r w:rsidRPr="0002124C">
              <w:rPr>
                <w:rFonts w:cs="Times New Roman"/>
                <w:sz w:val="20"/>
                <w:szCs w:val="20"/>
              </w:rPr>
              <w:t>b) la data di invio di una nota di addebito per gli importi che la Commissione ha indebitamente versato allo Stato membro riguardo al programma operativo;</w:t>
            </w:r>
          </w:p>
          <w:p w:rsidR="002D4CD0" w:rsidRPr="0002124C" w:rsidRDefault="002D4CD0" w:rsidP="009A4ED5">
            <w:pPr>
              <w:jc w:val="both"/>
              <w:rPr>
                <w:rFonts w:cs="Times New Roman"/>
                <w:sz w:val="20"/>
                <w:szCs w:val="20"/>
              </w:rPr>
            </w:pPr>
            <w:r w:rsidRPr="0002124C">
              <w:rPr>
                <w:rFonts w:cs="Times New Roman"/>
                <w:sz w:val="20"/>
                <w:szCs w:val="20"/>
              </w:rPr>
              <w:t>c) la data di disimpegno del saldo finale dell'impegno di bilancio.</w:t>
            </w:r>
          </w:p>
          <w:p w:rsidR="002D4CD0" w:rsidRPr="0002124C" w:rsidRDefault="002D4CD0" w:rsidP="009A4ED5">
            <w:pPr>
              <w:jc w:val="both"/>
              <w:rPr>
                <w:rFonts w:cs="Times New Roman"/>
                <w:sz w:val="20"/>
                <w:szCs w:val="20"/>
              </w:rPr>
            </w:pPr>
            <w:r w:rsidRPr="0002124C">
              <w:rPr>
                <w:rFonts w:cs="Times New Roman"/>
                <w:sz w:val="20"/>
                <w:szCs w:val="20"/>
              </w:rPr>
              <w:t>La Commissione comunica allo Stato membro la data di chiusura del programma operativo entro un termine di due mesi.</w:t>
            </w:r>
          </w:p>
        </w:tc>
      </w:tr>
      <w:tr w:rsidR="002D4CD0" w:rsidRPr="0002124C" w:rsidTr="002D4CD0">
        <w:tc>
          <w:tcPr>
            <w:tcW w:w="7225" w:type="dxa"/>
          </w:tcPr>
          <w:p w:rsidR="002D4CD0" w:rsidRPr="0002124C" w:rsidRDefault="002D4CD0" w:rsidP="009A4ED5">
            <w:pPr>
              <w:jc w:val="both"/>
              <w:rPr>
                <w:rFonts w:cs="Times New Roman"/>
                <w:sz w:val="20"/>
                <w:szCs w:val="20"/>
              </w:rPr>
            </w:pPr>
          </w:p>
        </w:tc>
        <w:tc>
          <w:tcPr>
            <w:tcW w:w="7138" w:type="dxa"/>
          </w:tcPr>
          <w:p w:rsidR="002D4CD0" w:rsidRPr="0002124C" w:rsidRDefault="002D4CD0" w:rsidP="009A4ED5">
            <w:pPr>
              <w:jc w:val="both"/>
              <w:rPr>
                <w:rFonts w:cs="Times New Roman"/>
                <w:sz w:val="20"/>
                <w:szCs w:val="20"/>
              </w:rPr>
            </w:pPr>
            <w:r w:rsidRPr="0002124C">
              <w:rPr>
                <w:rFonts w:cs="Times New Roman"/>
                <w:sz w:val="20"/>
                <w:szCs w:val="20"/>
              </w:rPr>
              <w:t>6. Fatto salvo l'esito di eventuali verifiche effettuate dalla Commissione o dalla Corte dei conti, il saldo finale versato dalla Commissione per il programma operativo può essere modificato entro nove mesi dalla data in cui è pagato o, in caso di saldo negativo a carico dello Stato membro, entro nove mesi dalla data di emissione della nota di addebito. Tali modifiche del saldo non influiscono sulla data della chiusura del programma operativo di cui al paragrafo 5.</w:t>
            </w:r>
          </w:p>
        </w:tc>
      </w:tr>
    </w:tbl>
    <w:p w:rsidR="001F3CE2" w:rsidRDefault="001F3CE2" w:rsidP="00FA2DFA">
      <w:pPr>
        <w:sectPr w:rsidR="001F3CE2" w:rsidSect="00A310B3">
          <w:headerReference w:type="default" r:id="rId8"/>
          <w:footerReference w:type="default" r:id="rId9"/>
          <w:pgSz w:w="16838" w:h="11906" w:orient="landscape"/>
          <w:pgMar w:top="1134" w:right="1417" w:bottom="1134" w:left="1134" w:header="708" w:footer="708" w:gutter="0"/>
          <w:cols w:space="708"/>
          <w:docGrid w:linePitch="360"/>
        </w:sectPr>
      </w:pPr>
    </w:p>
    <w:p w:rsidR="001F3CE2" w:rsidRPr="001F3CE2" w:rsidRDefault="001F3CE2" w:rsidP="001F3CE2">
      <w:pPr>
        <w:spacing w:before="0" w:after="0"/>
        <w:jc w:val="center"/>
        <w:rPr>
          <w:rFonts w:eastAsia="Times New Roman" w:cs="Times New Roman"/>
          <w:b/>
          <w:szCs w:val="24"/>
          <w:lang w:eastAsia="it-IT"/>
        </w:rPr>
      </w:pPr>
      <w:r w:rsidRPr="001F3CE2">
        <w:rPr>
          <w:rFonts w:eastAsia="Times New Roman" w:cs="Times New Roman"/>
          <w:b/>
          <w:szCs w:val="24"/>
          <w:lang w:eastAsia="it-IT"/>
        </w:rPr>
        <w:lastRenderedPageBreak/>
        <w:t>PRIME RIFLESSIONI</w:t>
      </w:r>
    </w:p>
    <w:p w:rsidR="001F3CE2" w:rsidRPr="001F3CE2" w:rsidRDefault="001F3CE2" w:rsidP="001F3CE2">
      <w:pPr>
        <w:spacing w:before="0" w:after="0"/>
        <w:jc w:val="center"/>
        <w:rPr>
          <w:rFonts w:eastAsia="Times New Roman" w:cs="Times New Roman"/>
          <w:b/>
          <w:i/>
          <w:szCs w:val="24"/>
          <w:u w:val="single"/>
          <w:lang w:eastAsia="it-IT"/>
        </w:rPr>
      </w:pPr>
    </w:p>
    <w:p w:rsidR="001F3CE2" w:rsidRPr="001F3CE2" w:rsidRDefault="001F3CE2" w:rsidP="001F3CE2">
      <w:pPr>
        <w:spacing w:before="0" w:after="0"/>
        <w:jc w:val="center"/>
        <w:rPr>
          <w:rFonts w:eastAsia="Times New Roman" w:cs="Times New Roman"/>
          <w:b/>
          <w:szCs w:val="24"/>
          <w:lang w:eastAsia="it-IT"/>
        </w:rPr>
      </w:pPr>
      <w:r w:rsidRPr="001F3CE2">
        <w:rPr>
          <w:rFonts w:eastAsia="Times New Roman" w:cs="Times New Roman"/>
          <w:b/>
          <w:szCs w:val="24"/>
          <w:lang w:eastAsia="it-IT"/>
        </w:rPr>
        <w:t>Preparazione, esame e accettazione dei conti</w:t>
      </w:r>
    </w:p>
    <w:p w:rsidR="001F3CE2" w:rsidRPr="001F3CE2" w:rsidRDefault="001F3CE2" w:rsidP="001F3CE2">
      <w:pPr>
        <w:spacing w:before="0" w:after="0"/>
        <w:jc w:val="center"/>
        <w:rPr>
          <w:rFonts w:eastAsia="Times New Roman" w:cs="Times New Roman"/>
          <w:i/>
          <w:szCs w:val="24"/>
          <w:lang w:eastAsia="it-IT"/>
        </w:rPr>
      </w:pPr>
      <w:r w:rsidRPr="001F3CE2">
        <w:rPr>
          <w:rFonts w:eastAsia="Times New Roman" w:cs="Times New Roman"/>
          <w:i/>
          <w:szCs w:val="24"/>
          <w:lang w:eastAsia="it-IT"/>
        </w:rPr>
        <w:t>(Articoli 84, 137-14</w:t>
      </w:r>
      <w:r w:rsidR="00704E68">
        <w:rPr>
          <w:rFonts w:eastAsia="Times New Roman" w:cs="Times New Roman"/>
          <w:i/>
          <w:szCs w:val="24"/>
          <w:lang w:eastAsia="it-IT"/>
        </w:rPr>
        <w:t>1</w:t>
      </w:r>
      <w:r w:rsidRPr="001F3CE2">
        <w:rPr>
          <w:rFonts w:eastAsia="Times New Roman" w:cs="Times New Roman"/>
          <w:i/>
          <w:szCs w:val="24"/>
          <w:lang w:eastAsia="it-IT"/>
        </w:rPr>
        <w:t xml:space="preserve"> del Regolamento Disposizioni comuni)</w:t>
      </w:r>
    </w:p>
    <w:p w:rsidR="001F3CE2" w:rsidRPr="001F3CE2" w:rsidRDefault="001F3CE2" w:rsidP="001F3CE2">
      <w:pPr>
        <w:spacing w:before="0" w:after="0"/>
        <w:jc w:val="center"/>
        <w:rPr>
          <w:rFonts w:eastAsia="Times New Roman" w:cs="Times New Roman"/>
          <w:b/>
          <w:i/>
          <w:szCs w:val="24"/>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La nuova procedura di presentazione e liquidazione dei conti annuali costituisce la principale novità che caratterizzerà la gestione finanziaria dei PO nel nuovo periodo di programmazione.</w:t>
      </w: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Tale procedura discende dal disegno del legislatore che sembra orientato ad una maggiore razionalizzazione delle procedure e delle modalità di gestione ed esecuzione del bilancio comunitario, come si evince innanzitutto dall’art. 59 del regolamento finanziario dell’UE in materia di gestione concorrente e poi nel regolamento recante Disposizioni comuni 1303/2013, dove un’apposita sezione è appunto dedicata alla preparazione, all’esame e all’accettazione dei conti. </w:t>
      </w:r>
    </w:p>
    <w:p w:rsidR="001F3CE2" w:rsidRPr="001F3CE2" w:rsidRDefault="001F3CE2"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In linea generale, tutti gli attori coinvolti nella gestione, attuazione e controllo del PO, ovvero </w:t>
      </w:r>
      <w:proofErr w:type="spellStart"/>
      <w:r w:rsidRPr="001F3CE2">
        <w:rPr>
          <w:rFonts w:eastAsia="Times New Roman" w:cs="Times New Roman"/>
          <w:szCs w:val="24"/>
          <w:lang w:eastAsia="it-IT"/>
        </w:rPr>
        <w:t>AdG</w:t>
      </w:r>
      <w:proofErr w:type="spellEnd"/>
      <w:r w:rsidRPr="001F3CE2">
        <w:rPr>
          <w:rFonts w:eastAsia="Times New Roman" w:cs="Times New Roman"/>
          <w:szCs w:val="24"/>
          <w:lang w:eastAsia="it-IT"/>
        </w:rPr>
        <w:t xml:space="preserve">, </w:t>
      </w:r>
      <w:proofErr w:type="spellStart"/>
      <w:r w:rsidRPr="001F3CE2">
        <w:rPr>
          <w:rFonts w:eastAsia="Times New Roman" w:cs="Times New Roman"/>
          <w:szCs w:val="24"/>
          <w:lang w:eastAsia="it-IT"/>
        </w:rPr>
        <w:t>AdC</w:t>
      </w:r>
      <w:proofErr w:type="spellEnd"/>
      <w:r w:rsidRPr="001F3CE2">
        <w:rPr>
          <w:rFonts w:eastAsia="Times New Roman" w:cs="Times New Roman"/>
          <w:szCs w:val="24"/>
          <w:lang w:eastAsia="it-IT"/>
        </w:rPr>
        <w:t xml:space="preserve"> e </w:t>
      </w:r>
      <w:proofErr w:type="spellStart"/>
      <w:r w:rsidRPr="001F3CE2">
        <w:rPr>
          <w:rFonts w:eastAsia="Times New Roman" w:cs="Times New Roman"/>
          <w:szCs w:val="24"/>
          <w:lang w:eastAsia="it-IT"/>
        </w:rPr>
        <w:t>AdA</w:t>
      </w:r>
      <w:proofErr w:type="spellEnd"/>
      <w:r w:rsidRPr="001F3CE2">
        <w:rPr>
          <w:rFonts w:eastAsia="Times New Roman" w:cs="Times New Roman"/>
          <w:szCs w:val="24"/>
          <w:lang w:eastAsia="it-IT"/>
        </w:rPr>
        <w:t xml:space="preserve">, sono impegnati nella procedura di preparazione dei conti, in maniera sinergica e congiunta. Non a caso, infatti, negli articoli che elencano le funzioni di tali Autorità, c’è sempre un riferimento puntuale agli adempimenti di ciascuna Autorità nell’ambito più ampio della procedura di preparazione dei conti definita all’art. 59 del regolamento finanziario dell’UE, che costituisce pertanto il riferimento regolamentare principale.  </w:t>
      </w:r>
    </w:p>
    <w:p w:rsidR="001F3CE2" w:rsidRPr="001F3CE2" w:rsidRDefault="001F3CE2" w:rsidP="001F3CE2">
      <w:pPr>
        <w:spacing w:before="0" w:after="0"/>
        <w:jc w:val="both"/>
        <w:rPr>
          <w:rFonts w:eastAsia="Times New Roman" w:cs="Times New Roman"/>
          <w:szCs w:val="24"/>
          <w:u w:val="single"/>
          <w:lang w:eastAsia="it-IT"/>
        </w:rPr>
      </w:pPr>
    </w:p>
    <w:p w:rsidR="001F3CE2" w:rsidRPr="001F3CE2" w:rsidRDefault="001F3CE2" w:rsidP="001F3CE2">
      <w:pPr>
        <w:spacing w:before="0" w:after="0"/>
        <w:jc w:val="both"/>
        <w:rPr>
          <w:rFonts w:eastAsia="Times New Roman" w:cs="Times New Roman"/>
          <w:szCs w:val="24"/>
          <w:u w:val="single"/>
          <w:lang w:eastAsia="it-IT"/>
        </w:rPr>
      </w:pPr>
      <w:r w:rsidRPr="001F3CE2">
        <w:rPr>
          <w:rFonts w:eastAsia="Times New Roman" w:cs="Times New Roman"/>
          <w:szCs w:val="24"/>
          <w:u w:val="single"/>
          <w:lang w:eastAsia="it-IT"/>
        </w:rPr>
        <w:t>Presentazione annuale dei conti</w:t>
      </w:r>
    </w:p>
    <w:p w:rsidR="001F3CE2" w:rsidRPr="001F3CE2" w:rsidRDefault="001F3CE2" w:rsidP="001F3CE2">
      <w:pPr>
        <w:spacing w:before="0" w:after="0"/>
        <w:jc w:val="both"/>
        <w:rPr>
          <w:rFonts w:eastAsia="Times New Roman" w:cs="Times New Roman"/>
          <w:szCs w:val="24"/>
          <w:u w:val="single"/>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In conformità con l’art. 59 del regolamento finanziario, l’art. 138 del regolamento generale definisce quali sono i </w:t>
      </w:r>
      <w:r w:rsidRPr="001F3CE2">
        <w:rPr>
          <w:rFonts w:eastAsia="Times New Roman" w:cs="Times New Roman"/>
          <w:b/>
          <w:szCs w:val="24"/>
          <w:lang w:eastAsia="it-IT"/>
        </w:rPr>
        <w:t>documenti che vanno predisposti e presentati</w:t>
      </w:r>
      <w:r w:rsidRPr="001F3CE2">
        <w:rPr>
          <w:rFonts w:eastAsia="Times New Roman" w:cs="Times New Roman"/>
          <w:szCs w:val="24"/>
          <w:lang w:eastAsia="it-IT"/>
        </w:rPr>
        <w:t xml:space="preserve"> nei termini regolamentari, ovvero: </w:t>
      </w:r>
    </w:p>
    <w:p w:rsidR="001F3CE2" w:rsidRPr="001F3CE2" w:rsidRDefault="001F3CE2" w:rsidP="001F3CE2">
      <w:pPr>
        <w:numPr>
          <w:ilvl w:val="0"/>
          <w:numId w:val="2"/>
        </w:numPr>
        <w:spacing w:before="0" w:after="0"/>
        <w:jc w:val="both"/>
        <w:rPr>
          <w:rFonts w:eastAsia="Times New Roman" w:cs="Times New Roman"/>
          <w:szCs w:val="24"/>
          <w:lang w:eastAsia="it-IT"/>
        </w:rPr>
      </w:pPr>
      <w:proofErr w:type="gramStart"/>
      <w:r w:rsidRPr="001F3CE2">
        <w:rPr>
          <w:rFonts w:eastAsia="Times New Roman" w:cs="Times New Roman"/>
          <w:szCs w:val="24"/>
          <w:lang w:eastAsia="it-IT"/>
        </w:rPr>
        <w:t>i</w:t>
      </w:r>
      <w:proofErr w:type="gramEnd"/>
      <w:r w:rsidRPr="001F3CE2">
        <w:rPr>
          <w:rFonts w:eastAsia="Times New Roman" w:cs="Times New Roman"/>
          <w:szCs w:val="24"/>
          <w:lang w:eastAsia="it-IT"/>
        </w:rPr>
        <w:t xml:space="preserve"> conti preparati dall’</w:t>
      </w:r>
      <w:proofErr w:type="spellStart"/>
      <w:r w:rsidRPr="001F3CE2">
        <w:rPr>
          <w:rFonts w:eastAsia="Times New Roman" w:cs="Times New Roman"/>
          <w:szCs w:val="24"/>
          <w:lang w:eastAsia="it-IT"/>
        </w:rPr>
        <w:t>AdC</w:t>
      </w:r>
      <w:proofErr w:type="spellEnd"/>
      <w:r w:rsidRPr="001F3CE2">
        <w:rPr>
          <w:rFonts w:eastAsia="Times New Roman" w:cs="Times New Roman"/>
          <w:szCs w:val="24"/>
          <w:lang w:eastAsia="it-IT"/>
        </w:rPr>
        <w:t xml:space="preserve">, </w:t>
      </w:r>
    </w:p>
    <w:p w:rsidR="001F3CE2" w:rsidRPr="001F3CE2" w:rsidRDefault="001F3CE2" w:rsidP="001F3CE2">
      <w:pPr>
        <w:numPr>
          <w:ilvl w:val="0"/>
          <w:numId w:val="2"/>
        </w:numPr>
        <w:spacing w:before="0" w:after="0"/>
        <w:jc w:val="both"/>
        <w:rPr>
          <w:rFonts w:eastAsia="Times New Roman" w:cs="Times New Roman"/>
          <w:szCs w:val="24"/>
          <w:lang w:eastAsia="it-IT"/>
        </w:rPr>
      </w:pPr>
      <w:proofErr w:type="gramStart"/>
      <w:r w:rsidRPr="001F3CE2">
        <w:rPr>
          <w:rFonts w:eastAsia="Times New Roman" w:cs="Times New Roman"/>
          <w:szCs w:val="24"/>
          <w:lang w:eastAsia="it-IT"/>
        </w:rPr>
        <w:t>la</w:t>
      </w:r>
      <w:proofErr w:type="gramEnd"/>
      <w:r w:rsidRPr="001F3CE2">
        <w:rPr>
          <w:rFonts w:eastAsia="Times New Roman" w:cs="Times New Roman"/>
          <w:szCs w:val="24"/>
          <w:lang w:eastAsia="it-IT"/>
        </w:rPr>
        <w:t xml:space="preserve"> dichiarazione di gestione e la relazione annuale di sintesi </w:t>
      </w:r>
      <w:r w:rsidR="00625B57">
        <w:rPr>
          <w:rFonts w:eastAsia="Times New Roman" w:cs="Times New Roman"/>
          <w:szCs w:val="24"/>
          <w:lang w:eastAsia="it-IT"/>
        </w:rPr>
        <w:t xml:space="preserve">dei controlli </w:t>
      </w:r>
      <w:r w:rsidRPr="001F3CE2">
        <w:rPr>
          <w:rFonts w:eastAsia="Times New Roman" w:cs="Times New Roman"/>
          <w:szCs w:val="24"/>
          <w:lang w:eastAsia="it-IT"/>
        </w:rPr>
        <w:t>a cura dell’</w:t>
      </w:r>
      <w:proofErr w:type="spellStart"/>
      <w:r w:rsidRPr="001F3CE2">
        <w:rPr>
          <w:rFonts w:eastAsia="Times New Roman" w:cs="Times New Roman"/>
          <w:szCs w:val="24"/>
          <w:lang w:eastAsia="it-IT"/>
        </w:rPr>
        <w:t>AdG</w:t>
      </w:r>
      <w:proofErr w:type="spellEnd"/>
      <w:r w:rsidRPr="001F3CE2">
        <w:rPr>
          <w:rFonts w:eastAsia="Times New Roman" w:cs="Times New Roman"/>
          <w:szCs w:val="24"/>
          <w:lang w:eastAsia="it-IT"/>
        </w:rPr>
        <w:t xml:space="preserve">, </w:t>
      </w:r>
    </w:p>
    <w:p w:rsidR="001F3CE2" w:rsidRPr="001F3CE2" w:rsidRDefault="001F3CE2" w:rsidP="001F3CE2">
      <w:pPr>
        <w:numPr>
          <w:ilvl w:val="0"/>
          <w:numId w:val="2"/>
        </w:numPr>
        <w:spacing w:before="0" w:after="0"/>
        <w:jc w:val="both"/>
        <w:rPr>
          <w:rFonts w:eastAsia="Times New Roman" w:cs="Times New Roman"/>
          <w:szCs w:val="24"/>
          <w:lang w:eastAsia="it-IT"/>
        </w:rPr>
      </w:pPr>
      <w:proofErr w:type="gramStart"/>
      <w:r w:rsidRPr="001F3CE2">
        <w:rPr>
          <w:rFonts w:eastAsia="Times New Roman" w:cs="Times New Roman"/>
          <w:szCs w:val="24"/>
          <w:lang w:eastAsia="it-IT"/>
        </w:rPr>
        <w:t>il</w:t>
      </w:r>
      <w:proofErr w:type="gramEnd"/>
      <w:r w:rsidRPr="001F3CE2">
        <w:rPr>
          <w:rFonts w:eastAsia="Times New Roman" w:cs="Times New Roman"/>
          <w:szCs w:val="24"/>
          <w:lang w:eastAsia="it-IT"/>
        </w:rPr>
        <w:t xml:space="preserve"> parere di audit e la relazione di controllo di competenza </w:t>
      </w:r>
      <w:proofErr w:type="spellStart"/>
      <w:r w:rsidRPr="001F3CE2">
        <w:rPr>
          <w:rFonts w:eastAsia="Times New Roman" w:cs="Times New Roman"/>
          <w:szCs w:val="24"/>
          <w:lang w:eastAsia="it-IT"/>
        </w:rPr>
        <w:t>dell’AdA</w:t>
      </w:r>
      <w:proofErr w:type="spellEnd"/>
      <w:r w:rsidRPr="001F3CE2">
        <w:rPr>
          <w:rFonts w:eastAsia="Times New Roman" w:cs="Times New Roman"/>
          <w:szCs w:val="24"/>
          <w:lang w:eastAsia="it-IT"/>
        </w:rPr>
        <w:t xml:space="preserve">. </w:t>
      </w:r>
    </w:p>
    <w:p w:rsidR="001F3CE2" w:rsidRPr="001F3CE2" w:rsidRDefault="001F3CE2"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Il regolamento 1303/2013 offre disposizioni dettagliate solo con riferimento alla preparazione dei conti. Al fine di dare certezza giuridica e consentire condizioni uniformi, </w:t>
      </w:r>
      <w:smartTag w:uri="urn:schemas-microsoft-com:office:smarttags" w:element="PersonName">
        <w:smartTagPr>
          <w:attr w:name="ProductID" w:val="la CE"/>
        </w:smartTagPr>
        <w:r w:rsidRPr="001F3CE2">
          <w:rPr>
            <w:rFonts w:eastAsia="Times New Roman" w:cs="Times New Roman"/>
            <w:szCs w:val="24"/>
            <w:lang w:eastAsia="it-IT"/>
          </w:rPr>
          <w:t>la CE</w:t>
        </w:r>
      </w:smartTag>
      <w:r w:rsidRPr="001F3CE2">
        <w:rPr>
          <w:rFonts w:eastAsia="Times New Roman" w:cs="Times New Roman"/>
          <w:szCs w:val="24"/>
          <w:lang w:eastAsia="it-IT"/>
        </w:rPr>
        <w:t xml:space="preserve">, infatti, elaborerà appositi atti di esecuzione per quanto concerne il modello dei conti, la dichiarazione di gestione, la relazione annuale di controllo e il parere di audit. </w:t>
      </w:r>
      <w:r w:rsidRPr="00A6683B">
        <w:rPr>
          <w:rFonts w:eastAsia="Times New Roman" w:cs="Times New Roman"/>
          <w:szCs w:val="24"/>
          <w:lang w:eastAsia="it-IT"/>
        </w:rPr>
        <w:t xml:space="preserve">Per la </w:t>
      </w:r>
      <w:r w:rsidR="00665385">
        <w:rPr>
          <w:rFonts w:eastAsia="Times New Roman" w:cs="Times New Roman"/>
          <w:szCs w:val="24"/>
          <w:lang w:eastAsia="it-IT"/>
        </w:rPr>
        <w:t xml:space="preserve">relazione annuale di sintesi dei </w:t>
      </w:r>
      <w:r w:rsidRPr="00A6683B">
        <w:rPr>
          <w:rFonts w:eastAsia="Times New Roman" w:cs="Times New Roman"/>
          <w:szCs w:val="24"/>
          <w:lang w:eastAsia="it-IT"/>
        </w:rPr>
        <w:t>controlli sarà</w:t>
      </w:r>
      <w:r w:rsidRPr="001F3CE2">
        <w:rPr>
          <w:rFonts w:eastAsia="Times New Roman" w:cs="Times New Roman"/>
          <w:szCs w:val="24"/>
          <w:lang w:eastAsia="it-IT"/>
        </w:rPr>
        <w:t xml:space="preserve">, invece, predisposta una apposita guida orientativa. </w:t>
      </w:r>
    </w:p>
    <w:p w:rsidR="001F3CE2" w:rsidRPr="001F3CE2" w:rsidRDefault="001F3CE2"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Entrando nel merito, i conti</w:t>
      </w:r>
      <w:r w:rsidR="00E9760E">
        <w:rPr>
          <w:rFonts w:eastAsia="Times New Roman" w:cs="Times New Roman"/>
          <w:szCs w:val="24"/>
          <w:lang w:eastAsia="it-IT"/>
        </w:rPr>
        <w:t>,</w:t>
      </w:r>
      <w:r w:rsidRPr="001F3CE2">
        <w:rPr>
          <w:rFonts w:eastAsia="Times New Roman" w:cs="Times New Roman"/>
          <w:szCs w:val="24"/>
          <w:lang w:eastAsia="it-IT"/>
        </w:rPr>
        <w:t xml:space="preserve"> da presentare ent</w:t>
      </w:r>
      <w:r w:rsidR="004422E0">
        <w:rPr>
          <w:rFonts w:eastAsia="Times New Roman" w:cs="Times New Roman"/>
          <w:szCs w:val="24"/>
          <w:lang w:eastAsia="it-IT"/>
        </w:rPr>
        <w:t>ro il 15 febbraio di ogni anno</w:t>
      </w:r>
      <w:r w:rsidR="004422E0">
        <w:rPr>
          <w:rStyle w:val="Rimandonotaapidipagina"/>
          <w:rFonts w:eastAsia="Times New Roman" w:cs="Times New Roman"/>
          <w:szCs w:val="24"/>
          <w:lang w:eastAsia="it-IT"/>
        </w:rPr>
        <w:footnoteReference w:id="1"/>
      </w:r>
      <w:r w:rsidR="00E9760E">
        <w:rPr>
          <w:rFonts w:eastAsia="Times New Roman" w:cs="Times New Roman"/>
          <w:szCs w:val="24"/>
          <w:lang w:eastAsia="it-IT"/>
        </w:rPr>
        <w:t xml:space="preserve">, </w:t>
      </w:r>
      <w:r w:rsidRPr="001F3CE2">
        <w:rPr>
          <w:rFonts w:eastAsia="Times New Roman" w:cs="Times New Roman"/>
          <w:szCs w:val="24"/>
          <w:lang w:eastAsia="it-IT"/>
        </w:rPr>
        <w:t>si riferiscono al periodo contabile precedente</w:t>
      </w:r>
      <w:r w:rsidR="00665385">
        <w:rPr>
          <w:rFonts w:eastAsia="Times New Roman" w:cs="Times New Roman"/>
          <w:szCs w:val="24"/>
          <w:lang w:eastAsia="it-IT"/>
        </w:rPr>
        <w:t xml:space="preserve"> (</w:t>
      </w:r>
      <w:r w:rsidR="00E9760E">
        <w:rPr>
          <w:rFonts w:eastAsia="Times New Roman" w:cs="Times New Roman"/>
          <w:szCs w:val="24"/>
          <w:lang w:eastAsia="it-IT"/>
        </w:rPr>
        <w:t xml:space="preserve">che va </w:t>
      </w:r>
      <w:r w:rsidR="00665385" w:rsidRPr="001F3CE2">
        <w:rPr>
          <w:rFonts w:eastAsia="Times New Roman" w:cs="Times New Roman"/>
          <w:szCs w:val="24"/>
          <w:lang w:eastAsia="it-IT"/>
        </w:rPr>
        <w:t>dal 1° luglio al 30 giugno, tranne il primo che va dalla data di inizio dell'ammissibilità della spesa al 30 giugno 2015</w:t>
      </w:r>
      <w:r w:rsidR="009C33D2">
        <w:rPr>
          <w:rStyle w:val="Rimandonotaapidipagina"/>
          <w:rFonts w:eastAsia="Times New Roman" w:cs="Times New Roman"/>
          <w:szCs w:val="24"/>
          <w:lang w:eastAsia="it-IT"/>
        </w:rPr>
        <w:footnoteReference w:id="2"/>
      </w:r>
      <w:r w:rsidR="00665385">
        <w:rPr>
          <w:rFonts w:eastAsia="Times New Roman" w:cs="Times New Roman"/>
          <w:szCs w:val="24"/>
          <w:lang w:eastAsia="it-IT"/>
        </w:rPr>
        <w:t>)</w:t>
      </w:r>
      <w:r w:rsidRPr="001F3CE2">
        <w:rPr>
          <w:rFonts w:eastAsia="Times New Roman" w:cs="Times New Roman"/>
          <w:szCs w:val="24"/>
          <w:lang w:eastAsia="it-IT"/>
        </w:rPr>
        <w:t>. Confluiscono nei conti del periodo contabile X le domande di pagamento trasmesse dal 1 luglio dell’anno N al 31 luglio dell’anno N+1,</w:t>
      </w:r>
      <w:r w:rsidR="00A7594D">
        <w:rPr>
          <w:rFonts w:eastAsia="Times New Roman" w:cs="Times New Roman"/>
          <w:szCs w:val="24"/>
          <w:lang w:eastAsia="it-IT"/>
        </w:rPr>
        <w:t xml:space="preserve"> che si riferiscono a spese sostenute nel periodo contabile</w:t>
      </w:r>
      <w:r w:rsidRPr="001F3CE2">
        <w:rPr>
          <w:rFonts w:eastAsia="Times New Roman" w:cs="Times New Roman"/>
          <w:szCs w:val="24"/>
          <w:lang w:eastAsia="it-IT"/>
        </w:rPr>
        <w:t xml:space="preserve">. </w:t>
      </w:r>
    </w:p>
    <w:p w:rsidR="001F3CE2" w:rsidRPr="001F3CE2" w:rsidRDefault="001F3CE2"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Ai sensi dell’art. 137 del regolamento Disposizioni comuni, nei conti vanno indicati per ciascun asse prioritario:</w:t>
      </w:r>
    </w:p>
    <w:p w:rsidR="001F3CE2" w:rsidRPr="001F3CE2" w:rsidRDefault="001F3CE2" w:rsidP="0011562C">
      <w:pPr>
        <w:numPr>
          <w:ilvl w:val="0"/>
          <w:numId w:val="1"/>
        </w:numPr>
        <w:spacing w:before="0" w:after="0"/>
        <w:ind w:left="426" w:hanging="426"/>
        <w:contextualSpacing/>
        <w:jc w:val="both"/>
        <w:rPr>
          <w:rFonts w:eastAsia="Times New Roman" w:cs="Times New Roman"/>
          <w:szCs w:val="24"/>
          <w:lang w:eastAsia="it-IT"/>
        </w:rPr>
      </w:pPr>
      <w:proofErr w:type="gramStart"/>
      <w:r w:rsidRPr="001F3CE2">
        <w:rPr>
          <w:rFonts w:eastAsia="Times New Roman" w:cs="Times New Roman"/>
          <w:szCs w:val="24"/>
          <w:lang w:eastAsia="it-IT"/>
        </w:rPr>
        <w:t>l’importo</w:t>
      </w:r>
      <w:proofErr w:type="gramEnd"/>
      <w:r w:rsidRPr="001F3CE2">
        <w:rPr>
          <w:rFonts w:eastAsia="Times New Roman" w:cs="Times New Roman"/>
          <w:szCs w:val="24"/>
          <w:lang w:eastAsia="it-IT"/>
        </w:rPr>
        <w:t xml:space="preserve"> totale di spese ammissibili registrato nei sistemi contabili dall’Autorità di Certificazione che è stato già inserito nelle domande di pagamento presentate alla CE nel corso del periodo </w:t>
      </w:r>
      <w:bookmarkStart w:id="0" w:name="_GoBack"/>
      <w:r w:rsidRPr="001F3CE2">
        <w:rPr>
          <w:rFonts w:eastAsia="Times New Roman" w:cs="Times New Roman"/>
          <w:szCs w:val="24"/>
          <w:lang w:eastAsia="it-IT"/>
        </w:rPr>
        <w:t>contabile, l’importo totale della spesa pubblica corrispondente sostenuta per l’esecuzione delle operazioni e l’importo totale dei pagamenti corrispondenti effettuati ai beneficiari;</w:t>
      </w:r>
    </w:p>
    <w:p w:rsidR="001F3CE2" w:rsidRPr="001F3CE2" w:rsidRDefault="001F3CE2" w:rsidP="0011562C">
      <w:pPr>
        <w:numPr>
          <w:ilvl w:val="0"/>
          <w:numId w:val="1"/>
        </w:numPr>
        <w:spacing w:before="0" w:after="0"/>
        <w:ind w:left="426" w:hanging="426"/>
        <w:contextualSpacing/>
        <w:jc w:val="both"/>
        <w:rPr>
          <w:rFonts w:eastAsia="Times New Roman" w:cs="Times New Roman"/>
          <w:szCs w:val="24"/>
          <w:lang w:eastAsia="it-IT"/>
        </w:rPr>
      </w:pPr>
      <w:r w:rsidRPr="001F3CE2">
        <w:rPr>
          <w:rFonts w:eastAsia="Times New Roman" w:cs="Times New Roman"/>
          <w:szCs w:val="24"/>
          <w:lang w:eastAsia="it-IT"/>
        </w:rPr>
        <w:lastRenderedPageBreak/>
        <w:t>gli importi ritirati e recuperati nel corso del periodo contabile, gli importi da recuperare al termine del periodo contabile, i recuperi effettuati in caso di mancato rispetto del principio di stabilità delle operazioni (art. 71) e gli importi non recuperabili;</w:t>
      </w:r>
    </w:p>
    <w:p w:rsidR="001F3CE2" w:rsidRPr="001F3CE2" w:rsidRDefault="001F3CE2" w:rsidP="0011562C">
      <w:pPr>
        <w:numPr>
          <w:ilvl w:val="0"/>
          <w:numId w:val="1"/>
        </w:numPr>
        <w:spacing w:before="0" w:after="0"/>
        <w:ind w:left="426" w:hanging="426"/>
        <w:contextualSpacing/>
        <w:jc w:val="both"/>
        <w:rPr>
          <w:rFonts w:eastAsia="Times New Roman" w:cs="Times New Roman"/>
          <w:szCs w:val="24"/>
          <w:lang w:eastAsia="it-IT"/>
        </w:rPr>
      </w:pPr>
      <w:r w:rsidRPr="001F3CE2">
        <w:rPr>
          <w:rFonts w:eastAsia="Times New Roman" w:cs="Times New Roman"/>
          <w:szCs w:val="24"/>
          <w:lang w:eastAsia="it-IT"/>
        </w:rPr>
        <w:t>gli importi erogati agli strumenti finanziari e gli anticipi sugli aiuti di stato;</w:t>
      </w:r>
    </w:p>
    <w:p w:rsidR="001F3CE2" w:rsidRPr="001F3CE2" w:rsidRDefault="001F3CE2" w:rsidP="0011562C">
      <w:pPr>
        <w:numPr>
          <w:ilvl w:val="0"/>
          <w:numId w:val="1"/>
        </w:numPr>
        <w:spacing w:before="0" w:after="0"/>
        <w:ind w:left="426" w:hanging="426"/>
        <w:contextualSpacing/>
        <w:jc w:val="both"/>
        <w:rPr>
          <w:rFonts w:eastAsia="Times New Roman" w:cs="Times New Roman"/>
          <w:szCs w:val="24"/>
          <w:lang w:eastAsia="it-IT"/>
        </w:rPr>
      </w:pPr>
      <w:r w:rsidRPr="001F3CE2">
        <w:rPr>
          <w:rFonts w:eastAsia="Times New Roman" w:cs="Times New Roman"/>
          <w:szCs w:val="24"/>
          <w:lang w:eastAsia="it-IT"/>
        </w:rPr>
        <w:t xml:space="preserve">un raffronto tra le </w:t>
      </w:r>
      <w:bookmarkEnd w:id="0"/>
      <w:r w:rsidRPr="001F3CE2">
        <w:rPr>
          <w:rFonts w:eastAsia="Times New Roman" w:cs="Times New Roman"/>
          <w:szCs w:val="24"/>
          <w:lang w:eastAsia="it-IT"/>
        </w:rPr>
        <w:t xml:space="preserve">spese dichiarate nei conti e quelle dichiarate nelle domande di pagamento trasmesse nel periodo contabile </w:t>
      </w:r>
      <w:r w:rsidR="009C1367">
        <w:rPr>
          <w:rFonts w:eastAsia="Times New Roman" w:cs="Times New Roman"/>
          <w:szCs w:val="24"/>
          <w:lang w:eastAsia="it-IT"/>
        </w:rPr>
        <w:t xml:space="preserve">di riferimento </w:t>
      </w:r>
      <w:r w:rsidRPr="001F3CE2">
        <w:rPr>
          <w:rFonts w:eastAsia="Times New Roman" w:cs="Times New Roman"/>
          <w:szCs w:val="24"/>
          <w:lang w:eastAsia="it-IT"/>
        </w:rPr>
        <w:t>con una spiegazione delle eventuali differenze.</w:t>
      </w: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Sarà, in effetti, possibile escludere dai conti alcune spese inserite in domanda di pagamento </w:t>
      </w:r>
      <w:proofErr w:type="gramStart"/>
      <w:r w:rsidRPr="001F3CE2">
        <w:rPr>
          <w:rFonts w:eastAsia="Times New Roman" w:cs="Times New Roman"/>
          <w:szCs w:val="24"/>
          <w:lang w:eastAsia="it-IT"/>
        </w:rPr>
        <w:t>intermedio</w:t>
      </w:r>
      <w:proofErr w:type="gramEnd"/>
      <w:r w:rsidRPr="001F3CE2">
        <w:rPr>
          <w:rFonts w:eastAsia="Times New Roman" w:cs="Times New Roman"/>
          <w:szCs w:val="24"/>
          <w:lang w:eastAsia="it-IT"/>
        </w:rPr>
        <w:t xml:space="preserve">, in caso di una valutazione </w:t>
      </w:r>
      <w:r w:rsidR="008A3E8C">
        <w:rPr>
          <w:rFonts w:eastAsia="Times New Roman" w:cs="Times New Roman"/>
          <w:szCs w:val="24"/>
          <w:lang w:eastAsia="it-IT"/>
        </w:rPr>
        <w:t>su legittimità e regolarità delle spese</w:t>
      </w:r>
      <w:r w:rsidRPr="001F3CE2">
        <w:rPr>
          <w:rFonts w:eastAsia="Times New Roman" w:cs="Times New Roman"/>
          <w:szCs w:val="24"/>
          <w:lang w:eastAsia="it-IT"/>
        </w:rPr>
        <w:t xml:space="preserve">, ed in esito alla stessa reinserirle, se del caso, in una domanda di pagamento intermedio di un successivo periodo contabile. Di tali valutazioni e scelte, tuttavia, sarà necessario </w:t>
      </w:r>
      <w:r w:rsidR="004115CB">
        <w:rPr>
          <w:rFonts w:eastAsia="Times New Roman" w:cs="Times New Roman"/>
          <w:szCs w:val="24"/>
          <w:lang w:eastAsia="it-IT"/>
        </w:rPr>
        <w:t>tenere</w:t>
      </w:r>
      <w:r w:rsidRPr="001F3CE2">
        <w:rPr>
          <w:rFonts w:eastAsia="Times New Roman" w:cs="Times New Roman"/>
          <w:szCs w:val="24"/>
          <w:lang w:eastAsia="it-IT"/>
        </w:rPr>
        <w:t xml:space="preserve"> traccia in occasione della presentazione dei conti.</w:t>
      </w:r>
    </w:p>
    <w:p w:rsidR="001F3CE2" w:rsidRPr="001F3CE2" w:rsidRDefault="001F3CE2"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Ai fini dell’esame per l’accettazione dei conti da parte della CE, occorrerà inviare tutta la documentazione entro il termine stabilito; in caso contrario i termini per la valutazione dei documentazione non decorrono e </w:t>
      </w:r>
      <w:smartTag w:uri="urn:schemas-microsoft-com:office:smarttags" w:element="PersonName">
        <w:smartTagPr>
          <w:attr w:name="ProductID" w:val="la CE"/>
        </w:smartTagPr>
        <w:r w:rsidRPr="001F3CE2">
          <w:rPr>
            <w:rFonts w:eastAsia="Times New Roman" w:cs="Times New Roman"/>
            <w:szCs w:val="24"/>
            <w:lang w:eastAsia="it-IT"/>
          </w:rPr>
          <w:t>la CE</w:t>
        </w:r>
      </w:smartTag>
      <w:r w:rsidRPr="001F3CE2">
        <w:rPr>
          <w:rFonts w:eastAsia="Times New Roman" w:cs="Times New Roman"/>
          <w:szCs w:val="24"/>
          <w:lang w:eastAsia="it-IT"/>
        </w:rPr>
        <w:t xml:space="preserve"> comunica le ragioni che gli impediscono l’esame e le azioni che devono essere avviate.</w:t>
      </w:r>
    </w:p>
    <w:p w:rsidR="001F3CE2" w:rsidRPr="001F3CE2" w:rsidRDefault="001F3CE2"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lang w:eastAsia="it-IT"/>
        </w:rPr>
      </w:pPr>
      <w:r w:rsidRPr="00A6683B">
        <w:rPr>
          <w:rFonts w:eastAsia="Times New Roman" w:cs="Times New Roman"/>
          <w:szCs w:val="24"/>
          <w:lang w:eastAsia="it-IT"/>
        </w:rPr>
        <w:t xml:space="preserve">Dalla lettura del dettato regolamentare, ed in particolare gli art. dedicati alle funzioni delle autorità  </w:t>
      </w:r>
      <w:r w:rsidR="005573B9" w:rsidRPr="00A6683B">
        <w:rPr>
          <w:rFonts w:eastAsia="Times New Roman" w:cs="Times New Roman"/>
          <w:szCs w:val="24"/>
          <w:lang w:eastAsia="it-IT"/>
        </w:rPr>
        <w:t>(</w:t>
      </w:r>
      <w:r w:rsidRPr="00A6683B">
        <w:rPr>
          <w:rFonts w:eastAsia="Times New Roman" w:cs="Times New Roman"/>
          <w:szCs w:val="24"/>
          <w:lang w:eastAsia="it-IT"/>
        </w:rPr>
        <w:t>cfr. 125-126-127) e  l’art. 138 è possibile dedurre che sia l’</w:t>
      </w:r>
      <w:proofErr w:type="spellStart"/>
      <w:r w:rsidRPr="00A6683B">
        <w:rPr>
          <w:rFonts w:eastAsia="Times New Roman" w:cs="Times New Roman"/>
          <w:szCs w:val="24"/>
          <w:lang w:eastAsia="it-IT"/>
        </w:rPr>
        <w:t>AdG</w:t>
      </w:r>
      <w:proofErr w:type="spellEnd"/>
      <w:r w:rsidRPr="00A6683B">
        <w:rPr>
          <w:rFonts w:eastAsia="Times New Roman" w:cs="Times New Roman"/>
          <w:szCs w:val="24"/>
          <w:lang w:eastAsia="it-IT"/>
        </w:rPr>
        <w:t xml:space="preserve"> a raccogliere e trasmettere tutta la documentazione richiesta dalla CE. </w:t>
      </w:r>
    </w:p>
    <w:p w:rsidR="001F3CE2" w:rsidRPr="001F3CE2" w:rsidRDefault="001F3CE2" w:rsidP="001F3CE2">
      <w:pPr>
        <w:spacing w:before="0" w:after="0"/>
        <w:jc w:val="both"/>
        <w:rPr>
          <w:rFonts w:eastAsia="Times New Roman" w:cs="Times New Roman"/>
          <w:szCs w:val="24"/>
          <w:u w:val="single"/>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I </w:t>
      </w:r>
      <w:r w:rsidRPr="001F3CE2">
        <w:rPr>
          <w:rFonts w:eastAsia="Times New Roman" w:cs="Times New Roman"/>
          <w:b/>
          <w:szCs w:val="24"/>
          <w:lang w:eastAsia="it-IT"/>
        </w:rPr>
        <w:t>tempi e le modalità di presentazione, esame ed accettazione dei conti</w:t>
      </w:r>
      <w:r w:rsidRPr="001F3CE2">
        <w:rPr>
          <w:rFonts w:eastAsia="Times New Roman" w:cs="Times New Roman"/>
          <w:szCs w:val="24"/>
          <w:lang w:eastAsia="it-IT"/>
        </w:rPr>
        <w:t xml:space="preserve"> si desumono dalla lettura del combinato disposto dell’art. 59 del reg. finanziario, dell’art. 84 e dell’art. 139 del regolamento generale.</w:t>
      </w:r>
    </w:p>
    <w:p w:rsidR="001F3CE2" w:rsidRPr="001F3CE2" w:rsidRDefault="001F3CE2"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Con attenzione agli adempimenti da parte degli SM, la prima presentazione dei conti avviene nel 2016, e di norma entro il 15 febbraio 2016 (sebbene il termine potrà essere eccezionalmente prorogato al 1° marzo 2016, previa comunicazione), mentre l’ultima nel 2025. Da ciò si desume che nell’intero periodo di programmazione andranno inviate dieci presentazioni annuali dei conti e dei documenti di accompagnamento che si riferiscono a nove periodi contabili. </w:t>
      </w:r>
    </w:p>
    <w:p w:rsidR="001F3CE2" w:rsidRPr="001F3CE2" w:rsidRDefault="001F3CE2"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Sul versante comunitario, entro il 31 maggio dell’anno successivo alla chiusura del periodo contabile, ovvero tre mesi dopo la presentazione dei conti e dei documenti di accompagnamento, la CE</w:t>
      </w:r>
      <w:r w:rsidR="002523BA">
        <w:rPr>
          <w:rFonts w:eastAsia="Times New Roman" w:cs="Times New Roman"/>
          <w:szCs w:val="24"/>
          <w:lang w:eastAsia="it-IT"/>
        </w:rPr>
        <w:t xml:space="preserve"> avvia le procedure per l’esame </w:t>
      </w:r>
      <w:r w:rsidRPr="001F3CE2">
        <w:rPr>
          <w:rFonts w:eastAsia="Times New Roman" w:cs="Times New Roman"/>
          <w:szCs w:val="24"/>
          <w:lang w:eastAsia="it-IT"/>
        </w:rPr>
        <w:t xml:space="preserve">e l’accettazione dei conti comunicando allo SM se ritiene che gli stessi siano completi, accurati, e veritieri conformemente alle norme specifiche di ciascun fondo. </w:t>
      </w:r>
    </w:p>
    <w:p w:rsidR="002523BA" w:rsidRPr="001F3CE2" w:rsidRDefault="001F3CE2" w:rsidP="002523BA">
      <w:pPr>
        <w:spacing w:before="0" w:after="0"/>
        <w:jc w:val="both"/>
        <w:rPr>
          <w:rFonts w:eastAsia="Times New Roman" w:cs="Times New Roman"/>
          <w:szCs w:val="24"/>
          <w:lang w:eastAsia="it-IT"/>
        </w:rPr>
      </w:pPr>
      <w:r w:rsidRPr="001F3CE2">
        <w:rPr>
          <w:rFonts w:eastAsia="Times New Roman" w:cs="Times New Roman"/>
          <w:szCs w:val="24"/>
          <w:lang w:eastAsia="it-IT"/>
        </w:rPr>
        <w:t xml:space="preserve">In particolare, nei tre mesi di tempo successivi alla presentazione dei conti, </w:t>
      </w:r>
      <w:smartTag w:uri="urn:schemas-microsoft-com:office:smarttags" w:element="PersonName">
        <w:smartTagPr>
          <w:attr w:name="ProductID" w:val="la CE"/>
        </w:smartTagPr>
        <w:r w:rsidRPr="001F3CE2">
          <w:rPr>
            <w:rFonts w:eastAsia="Times New Roman" w:cs="Times New Roman"/>
            <w:szCs w:val="24"/>
            <w:lang w:eastAsia="it-IT"/>
          </w:rPr>
          <w:t>la CE</w:t>
        </w:r>
      </w:smartTag>
      <w:r w:rsidRPr="001F3CE2">
        <w:rPr>
          <w:rFonts w:eastAsia="Times New Roman" w:cs="Times New Roman"/>
          <w:szCs w:val="24"/>
          <w:lang w:eastAsia="it-IT"/>
        </w:rPr>
        <w:t xml:space="preserve"> esamina i documenti trasmessi dallo SM e se necessario richiede allo stesso di fornire informazioni supplementari utili a verificare che i conti siano completi, accurati e veritieri. </w:t>
      </w:r>
      <w:r w:rsidR="002523BA">
        <w:rPr>
          <w:rFonts w:eastAsia="Times New Roman" w:cs="Times New Roman"/>
          <w:szCs w:val="24"/>
          <w:lang w:eastAsia="it-IT"/>
        </w:rPr>
        <w:t>A</w:t>
      </w:r>
      <w:r w:rsidR="002523BA" w:rsidRPr="001F3CE2">
        <w:rPr>
          <w:rFonts w:eastAsia="Times New Roman" w:cs="Times New Roman"/>
          <w:szCs w:val="24"/>
          <w:lang w:eastAsia="it-IT"/>
        </w:rPr>
        <w:t>l fine di consentire l’avanzamento della procedura di esame dei conti</w:t>
      </w:r>
      <w:r w:rsidR="002523BA">
        <w:rPr>
          <w:rFonts w:eastAsia="Times New Roman" w:cs="Times New Roman"/>
          <w:szCs w:val="24"/>
          <w:lang w:eastAsia="it-IT"/>
        </w:rPr>
        <w:t>,</w:t>
      </w:r>
      <w:r w:rsidR="002523BA" w:rsidRPr="001F3CE2">
        <w:rPr>
          <w:rFonts w:eastAsia="Times New Roman" w:cs="Times New Roman"/>
          <w:szCs w:val="24"/>
          <w:lang w:eastAsia="it-IT"/>
        </w:rPr>
        <w:t xml:space="preserve"> è auspicabile che il parere di audit </w:t>
      </w:r>
      <w:proofErr w:type="spellStart"/>
      <w:r w:rsidR="002523BA" w:rsidRPr="001F3CE2">
        <w:rPr>
          <w:rFonts w:eastAsia="Times New Roman" w:cs="Times New Roman"/>
          <w:szCs w:val="24"/>
          <w:lang w:eastAsia="it-IT"/>
        </w:rPr>
        <w:t>dell’AdA</w:t>
      </w:r>
      <w:proofErr w:type="spellEnd"/>
      <w:r w:rsidR="002523BA" w:rsidRPr="001F3CE2">
        <w:rPr>
          <w:rFonts w:eastAsia="Times New Roman" w:cs="Times New Roman"/>
          <w:szCs w:val="24"/>
          <w:lang w:eastAsia="it-IT"/>
        </w:rPr>
        <w:t xml:space="preserve"> sia senza riserva.</w:t>
      </w:r>
    </w:p>
    <w:p w:rsidR="001F3CE2" w:rsidRDefault="002523BA" w:rsidP="001F3CE2">
      <w:pPr>
        <w:spacing w:before="0" w:after="0"/>
        <w:jc w:val="both"/>
        <w:rPr>
          <w:rFonts w:eastAsia="Times New Roman" w:cs="Times New Roman"/>
          <w:szCs w:val="24"/>
          <w:lang w:eastAsia="it-IT"/>
        </w:rPr>
      </w:pPr>
      <w:r>
        <w:rPr>
          <w:rFonts w:eastAsia="Times New Roman" w:cs="Times New Roman"/>
          <w:szCs w:val="24"/>
          <w:lang w:eastAsia="it-IT"/>
        </w:rPr>
        <w:t>Tuttavia si precisa che anche in caso di parere positivo, la CE, sulla base di evidenze e prove, potrebbe comunque ritenere che lo stesso non sia affidabile</w:t>
      </w:r>
      <w:r w:rsidR="001F3CE2" w:rsidRPr="001F3CE2">
        <w:rPr>
          <w:rFonts w:eastAsia="Times New Roman" w:cs="Times New Roman"/>
          <w:szCs w:val="24"/>
          <w:lang w:eastAsia="it-IT"/>
        </w:rPr>
        <w:t xml:space="preserve">. </w:t>
      </w:r>
    </w:p>
    <w:p w:rsidR="002523BA" w:rsidRPr="001F3CE2" w:rsidRDefault="002523BA"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Ai sensi dell’art. 84, entro il 31 maggio </w:t>
      </w:r>
      <w:r w:rsidR="002523BA">
        <w:rPr>
          <w:rFonts w:eastAsia="Times New Roman" w:cs="Times New Roman"/>
          <w:szCs w:val="24"/>
          <w:lang w:eastAsia="it-IT"/>
        </w:rPr>
        <w:t xml:space="preserve">dell’anno X, </w:t>
      </w:r>
      <w:r w:rsidRPr="001F3CE2">
        <w:rPr>
          <w:rFonts w:eastAsia="Times New Roman" w:cs="Times New Roman"/>
          <w:szCs w:val="24"/>
          <w:lang w:eastAsia="it-IT"/>
        </w:rPr>
        <w:t xml:space="preserve">la CE comunica allo SM l’esito dell’esame dei conti. Se entro tale data </w:t>
      </w:r>
      <w:smartTag w:uri="urn:schemas-microsoft-com:office:smarttags" w:element="PersonName">
        <w:smartTagPr>
          <w:attr w:name="ProductID" w:val="la CE"/>
        </w:smartTagPr>
        <w:r w:rsidRPr="001F3CE2">
          <w:rPr>
            <w:rFonts w:eastAsia="Times New Roman" w:cs="Times New Roman"/>
            <w:szCs w:val="24"/>
            <w:lang w:eastAsia="it-IT"/>
          </w:rPr>
          <w:t>la CE</w:t>
        </w:r>
      </w:smartTag>
      <w:r w:rsidRPr="001F3CE2">
        <w:rPr>
          <w:rFonts w:eastAsia="Times New Roman" w:cs="Times New Roman"/>
          <w:szCs w:val="24"/>
          <w:lang w:eastAsia="it-IT"/>
        </w:rPr>
        <w:t xml:space="preserve"> non accetta i conti, per responsabilità attribuibile allo SM, </w:t>
      </w:r>
      <w:smartTag w:uri="urn:schemas-microsoft-com:office:smarttags" w:element="PersonName">
        <w:smartTagPr>
          <w:attr w:name="ProductID" w:val="la CE"/>
        </w:smartTagPr>
        <w:r w:rsidRPr="001F3CE2">
          <w:rPr>
            <w:rFonts w:eastAsia="Times New Roman" w:cs="Times New Roman"/>
            <w:szCs w:val="24"/>
            <w:lang w:eastAsia="it-IT"/>
          </w:rPr>
          <w:t>la CE</w:t>
        </w:r>
      </w:smartTag>
      <w:r w:rsidRPr="001F3CE2">
        <w:rPr>
          <w:rFonts w:eastAsia="Times New Roman" w:cs="Times New Roman"/>
          <w:szCs w:val="24"/>
          <w:lang w:eastAsia="it-IT"/>
        </w:rPr>
        <w:t xml:space="preserve"> comunicherà agli SM le ragioni, le azioni da intraprendere e la relativa tempist</w:t>
      </w:r>
      <w:r w:rsidR="009C606A">
        <w:rPr>
          <w:rFonts w:eastAsia="Times New Roman" w:cs="Times New Roman"/>
          <w:szCs w:val="24"/>
          <w:lang w:eastAsia="it-IT"/>
        </w:rPr>
        <w:t xml:space="preserve">ica di completamento. Trascorso tale termine </w:t>
      </w:r>
      <w:r w:rsidRPr="001F3CE2">
        <w:rPr>
          <w:rFonts w:eastAsia="Times New Roman" w:cs="Times New Roman"/>
          <w:szCs w:val="24"/>
          <w:lang w:eastAsia="it-IT"/>
        </w:rPr>
        <w:t xml:space="preserve">e concluse le azioni, la CE comunicherà l’accettazione o meno dei conti stessi. </w:t>
      </w:r>
    </w:p>
    <w:p w:rsidR="001F3CE2" w:rsidRPr="001F3CE2" w:rsidRDefault="001F3CE2" w:rsidP="001F3CE2">
      <w:pPr>
        <w:spacing w:before="0" w:after="0"/>
        <w:jc w:val="both"/>
        <w:rPr>
          <w:rFonts w:eastAsia="Times New Roman" w:cs="Times New Roman"/>
          <w:szCs w:val="24"/>
          <w:lang w:eastAsia="it-IT"/>
        </w:rPr>
      </w:pPr>
    </w:p>
    <w:p w:rsidR="001F3CE2" w:rsidRPr="001F3CE2" w:rsidRDefault="00423C5D" w:rsidP="001F3CE2">
      <w:pPr>
        <w:spacing w:before="0" w:after="0"/>
        <w:jc w:val="both"/>
        <w:rPr>
          <w:rFonts w:eastAsia="Times New Roman" w:cs="Times New Roman"/>
          <w:szCs w:val="24"/>
          <w:lang w:eastAsia="it-IT"/>
        </w:rPr>
      </w:pPr>
      <w:r>
        <w:rPr>
          <w:rFonts w:eastAsia="Times New Roman" w:cs="Times New Roman"/>
          <w:szCs w:val="24"/>
          <w:lang w:eastAsia="it-IT"/>
        </w:rPr>
        <w:t>Per l’esame</w:t>
      </w:r>
      <w:r w:rsidR="001F3CE2" w:rsidRPr="001F3CE2">
        <w:rPr>
          <w:rFonts w:eastAsia="Times New Roman" w:cs="Times New Roman"/>
          <w:szCs w:val="24"/>
          <w:lang w:eastAsia="it-IT"/>
        </w:rPr>
        <w:t xml:space="preserve">, la CE non terrà conto di questioni connesse alla legittimità e regolarità delle operazioni che si riferiscono alle spese inserite nei conti. Inoltre in tale </w:t>
      </w:r>
      <w:r>
        <w:rPr>
          <w:rFonts w:eastAsia="Times New Roman" w:cs="Times New Roman"/>
          <w:szCs w:val="24"/>
          <w:lang w:eastAsia="it-IT"/>
        </w:rPr>
        <w:t>fase</w:t>
      </w:r>
      <w:r w:rsidR="001F3CE2" w:rsidRPr="001F3CE2">
        <w:rPr>
          <w:rFonts w:eastAsia="Times New Roman" w:cs="Times New Roman"/>
          <w:szCs w:val="24"/>
          <w:lang w:eastAsia="it-IT"/>
        </w:rPr>
        <w:t xml:space="preserve">, non ci saranno ripercussioni nel </w:t>
      </w:r>
      <w:r w:rsidR="0082635B">
        <w:rPr>
          <w:rFonts w:eastAsia="Times New Roman" w:cs="Times New Roman"/>
          <w:szCs w:val="24"/>
          <w:lang w:eastAsia="it-IT"/>
        </w:rPr>
        <w:t>trattamento delle domande di pagamento</w:t>
      </w:r>
      <w:r w:rsidR="001F3CE2" w:rsidRPr="001F3CE2">
        <w:rPr>
          <w:rFonts w:eastAsia="Times New Roman" w:cs="Times New Roman"/>
          <w:szCs w:val="24"/>
          <w:lang w:eastAsia="it-IT"/>
        </w:rPr>
        <w:t xml:space="preserve">, fatta eccezione dei casi di interruzione e sospensione di cui agli articoli 83 e 142, riconducibili pertanto a irregolarità e gravi carenze.   </w:t>
      </w: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lastRenderedPageBreak/>
        <w:t xml:space="preserve">Si precisa che tra i motivi che possono portare ad un’interruzione dei termini di pagamento è contemplata la mancata presentazione di uno dei documenti richiesti nella procedura di presentazione dei conti.  </w:t>
      </w:r>
    </w:p>
    <w:p w:rsidR="001F3CE2" w:rsidRPr="001F3CE2" w:rsidRDefault="001F3CE2"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All’accettazione segue la </w:t>
      </w:r>
      <w:r w:rsidRPr="001F3CE2">
        <w:rPr>
          <w:rFonts w:eastAsia="Times New Roman" w:cs="Times New Roman"/>
          <w:b/>
          <w:szCs w:val="24"/>
          <w:lang w:eastAsia="it-IT"/>
        </w:rPr>
        <w:t>liquidazione dei conti</w:t>
      </w:r>
      <w:r w:rsidRPr="001F3CE2">
        <w:rPr>
          <w:rFonts w:eastAsia="Times New Roman" w:cs="Times New Roman"/>
          <w:szCs w:val="24"/>
          <w:lang w:eastAsia="it-IT"/>
        </w:rPr>
        <w:t xml:space="preserve">. Non appena i conti saranno accettati, </w:t>
      </w:r>
      <w:smartTag w:uri="urn:schemas-microsoft-com:office:smarttags" w:element="PersonName">
        <w:smartTagPr>
          <w:attr w:name="ProductID" w:val="la CE"/>
        </w:smartTagPr>
        <w:r w:rsidRPr="001F3CE2">
          <w:rPr>
            <w:rFonts w:eastAsia="Times New Roman" w:cs="Times New Roman"/>
            <w:szCs w:val="24"/>
            <w:lang w:eastAsia="it-IT"/>
          </w:rPr>
          <w:t>la CE</w:t>
        </w:r>
      </w:smartTag>
      <w:r w:rsidRPr="001F3CE2">
        <w:rPr>
          <w:rFonts w:eastAsia="Times New Roman" w:cs="Times New Roman"/>
          <w:szCs w:val="24"/>
          <w:lang w:eastAsia="it-IT"/>
        </w:rPr>
        <w:t xml:space="preserve"> calcolerà l’importo imputabile ai fondi del periodo contabile di riferimento e se del caso i successivi pagamenti allo SM. In tale calcolo si terrà conto degli importi indicati dallo SM nei conti (come spese ammissibili) e del tasso di cofinanziamento per asse, e degli importi versati a titolo di pagamento intermedio (90 % per asse) e prefinanziamento annuale. In altre parole </w:t>
      </w:r>
      <w:smartTag w:uri="urn:schemas-microsoft-com:office:smarttags" w:element="PersonName">
        <w:smartTagPr>
          <w:attr w:name="ProductID" w:val="la CE"/>
        </w:smartTagPr>
        <w:r w:rsidRPr="001F3CE2">
          <w:rPr>
            <w:rFonts w:eastAsia="Times New Roman" w:cs="Times New Roman"/>
            <w:szCs w:val="24"/>
            <w:lang w:eastAsia="it-IT"/>
          </w:rPr>
          <w:t>la CE</w:t>
        </w:r>
      </w:smartTag>
      <w:r w:rsidRPr="001F3CE2">
        <w:rPr>
          <w:rFonts w:eastAsia="Times New Roman" w:cs="Times New Roman"/>
          <w:szCs w:val="24"/>
          <w:lang w:eastAsia="it-IT"/>
        </w:rPr>
        <w:t xml:space="preserve"> calcolerà </w:t>
      </w:r>
      <w:r w:rsidRPr="001F3CE2">
        <w:rPr>
          <w:rFonts w:eastAsia="Times New Roman" w:cs="Times New Roman"/>
          <w:szCs w:val="24"/>
          <w:u w:val="single"/>
          <w:lang w:eastAsia="it-IT"/>
        </w:rPr>
        <w:t>l’ammontare totale delle spese presentate dallo SM</w:t>
      </w:r>
      <w:r w:rsidRPr="001F3CE2">
        <w:rPr>
          <w:rFonts w:eastAsia="Times New Roman" w:cs="Times New Roman"/>
          <w:szCs w:val="24"/>
          <w:lang w:eastAsia="it-IT"/>
        </w:rPr>
        <w:t xml:space="preserve"> e i </w:t>
      </w:r>
      <w:r w:rsidRPr="001F3CE2">
        <w:rPr>
          <w:rFonts w:eastAsia="Times New Roman" w:cs="Times New Roman"/>
          <w:szCs w:val="24"/>
          <w:u w:val="single"/>
          <w:lang w:eastAsia="it-IT"/>
        </w:rPr>
        <w:t xml:space="preserve">pagamenti effettuati a titolo di prefinanziamento annuale e di pagamenti intermedi effettuati dalla CE. </w:t>
      </w:r>
    </w:p>
    <w:p w:rsidR="001F3CE2" w:rsidRPr="001F3CE2" w:rsidRDefault="001F3CE2"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In esito a tale calcolo aritmetico, la CE liquiderà il rispettivo prefinanziamento annuale e verserà allo SM l’importo aggiuntivo, se dovuto, entro 30 giorni dall’accettazione dei conti. Se tutto procede in maniera lineare e non ci sono interruzioni, entro il 30 giugno lo SM riceverà l’importo aggiuntivo. </w:t>
      </w: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Nel caso in cui a seguito del calcolo lo SM non avrà diritto ad un rimborso aggiuntivo, la CE procederà ad una compensazione nell’ambito dei pagamenti successivi del PO. Tale procedura non costituisce una rettifica finanziaria e pertanto il contributo del programma operativo rimane invariato a conferma del principio sancito nell’art. 177 del regolamento finanziario, il quale prevede appunto che, nel caso di fondi gestiti mediante gestione concorrente, il rimborso totale o parziale dei prefinanziamenti versati a titolo di un intervento non ha per effetto la riduzione della partecipazione dei fondo all’intervento interessato. </w:t>
      </w: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Ai fini del bilancio comunitario, di conseguenza, l’importo “recuperato” verrà trattato come un’entrata con destinazione specifica conformemente all’art. 177, par.3, del regolamento finanziario. </w:t>
      </w:r>
    </w:p>
    <w:p w:rsidR="001F3CE2" w:rsidRPr="001F3CE2" w:rsidRDefault="001F3CE2"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Nel caso in cui la CE non si trovi nelle condizioni per poter accettare i conti, nonostante la richiesta di informazioni allo SM e la messa in atto di azioni successive, la CE stabilisce l’importo imputabile al fondo, sulla base delle informazioni disponibili e di quanto richiesto nei conti ma anche di quanto versato e informa lo SM, il quale entro due mesi deve notificare il suo accordo. In caso di accordo la CE, entro 30 gg, verserà l’eventuale importo aggiuntivo.</w:t>
      </w: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Diversamente, in assenza di tale accordo, la CE adotterà, mediante atti di esecuzione, una decisione che stabilisce l’importo imputabile ai fondi per il periodo contabile di riferimento. Anche in tale caso la decisione non costituisce rettifica finanziaria e non comporta una riduzione del contributo del PO, ma sulla base di essa la CE è legittimata ad adeguare i successivi pagamenti allo SM. </w:t>
      </w:r>
    </w:p>
    <w:p w:rsidR="001F3CE2" w:rsidRPr="001F3CE2" w:rsidRDefault="001F3CE2"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Gli importi irregolari individuati dopo la presentazione dei conti, ad esempio a seguito di verifiche, possono essere sostituiti effettuando gli adeguamenti corrispondenti nei conti relativi al periodo contabile in cui è individuata l’irregolarità, ma non è esplicitata la modalità. Tale previsione sembra pertanto utile nella logica di sanare gli importi irregolari e ridurre così i tassi di errore del programma. </w:t>
      </w:r>
    </w:p>
    <w:p w:rsidR="001F3CE2" w:rsidRPr="001F3CE2" w:rsidRDefault="001F3CE2" w:rsidP="001F3CE2">
      <w:pPr>
        <w:spacing w:before="0" w:after="0"/>
        <w:jc w:val="both"/>
        <w:rPr>
          <w:rFonts w:eastAsia="Times New Roman" w:cs="Times New Roman"/>
          <w:szCs w:val="24"/>
          <w:lang w:eastAsia="it-IT"/>
        </w:rPr>
      </w:pPr>
    </w:p>
    <w:p w:rsid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In ultimo il regolamento esplicita che l’esito della procedura di presentazione e liquidazione dei conti, con accettazione o decisione, lascia impregiudicata l’applicazione delle rettifiche finanziarie effettuate dalla Commissione, ai sensi degli artt. 144 e 155, che comportano una riduzione del contributo dell’Unione ad un programma operativo.</w:t>
      </w:r>
    </w:p>
    <w:p w:rsidR="00465540" w:rsidRDefault="00465540" w:rsidP="001F3CE2">
      <w:pPr>
        <w:spacing w:before="0" w:after="0"/>
        <w:jc w:val="both"/>
        <w:rPr>
          <w:rFonts w:eastAsia="Times New Roman" w:cs="Times New Roman"/>
          <w:szCs w:val="24"/>
          <w:lang w:eastAsia="it-IT"/>
        </w:rPr>
      </w:pPr>
    </w:p>
    <w:p w:rsidR="00465540" w:rsidRDefault="00AA75DD" w:rsidP="001F3CE2">
      <w:pPr>
        <w:spacing w:before="0" w:after="0"/>
        <w:jc w:val="both"/>
        <w:rPr>
          <w:rFonts w:eastAsia="Times New Roman" w:cs="Times New Roman"/>
          <w:szCs w:val="24"/>
          <w:lang w:eastAsia="it-IT"/>
        </w:rPr>
      </w:pPr>
      <w:r w:rsidRPr="00A6683B">
        <w:rPr>
          <w:rFonts w:eastAsia="Times New Roman" w:cs="Times New Roman"/>
          <w:szCs w:val="24"/>
          <w:lang w:eastAsia="it-IT"/>
        </w:rPr>
        <w:t>Altre novità si rilevano nell’articolo</w:t>
      </w:r>
      <w:r w:rsidR="005573B9" w:rsidRPr="00A6683B">
        <w:rPr>
          <w:rFonts w:eastAsia="Times New Roman" w:cs="Times New Roman"/>
          <w:szCs w:val="24"/>
          <w:lang w:eastAsia="it-IT"/>
        </w:rPr>
        <w:t xml:space="preserve"> 140</w:t>
      </w:r>
      <w:r w:rsidRPr="00A6683B">
        <w:rPr>
          <w:rFonts w:eastAsia="Times New Roman" w:cs="Times New Roman"/>
          <w:szCs w:val="24"/>
          <w:lang w:eastAsia="it-IT"/>
        </w:rPr>
        <w:t xml:space="preserve"> </w:t>
      </w:r>
      <w:r w:rsidR="007240EA" w:rsidRPr="00A6683B">
        <w:rPr>
          <w:rFonts w:eastAsia="Times New Roman" w:cs="Times New Roman"/>
          <w:szCs w:val="24"/>
          <w:lang w:eastAsia="it-IT"/>
        </w:rPr>
        <w:t>che riguarda la</w:t>
      </w:r>
      <w:r w:rsidRPr="00A6683B">
        <w:rPr>
          <w:rFonts w:eastAsia="Times New Roman" w:cs="Times New Roman"/>
          <w:szCs w:val="24"/>
          <w:lang w:eastAsia="it-IT"/>
        </w:rPr>
        <w:t xml:space="preserve"> </w:t>
      </w:r>
      <w:r w:rsidRPr="00A6683B">
        <w:rPr>
          <w:rFonts w:eastAsia="Times New Roman" w:cs="Times New Roman"/>
          <w:b/>
          <w:szCs w:val="24"/>
          <w:lang w:eastAsia="it-IT"/>
        </w:rPr>
        <w:t>disponibilità dei documenti.</w:t>
      </w:r>
      <w:r w:rsidR="00515224" w:rsidRPr="00A6683B">
        <w:rPr>
          <w:rFonts w:eastAsia="Times New Roman" w:cs="Times New Roman"/>
          <w:b/>
          <w:szCs w:val="24"/>
          <w:lang w:eastAsia="it-IT"/>
        </w:rPr>
        <w:t xml:space="preserve"> </w:t>
      </w:r>
      <w:r w:rsidR="00515224" w:rsidRPr="00A6683B">
        <w:rPr>
          <w:rFonts w:eastAsia="Times New Roman" w:cs="Times New Roman"/>
          <w:szCs w:val="24"/>
          <w:lang w:eastAsia="it-IT"/>
        </w:rPr>
        <w:t xml:space="preserve">In particolare </w:t>
      </w:r>
      <w:r w:rsidR="004F710A" w:rsidRPr="00A6683B">
        <w:rPr>
          <w:rFonts w:eastAsia="Times New Roman" w:cs="Times New Roman"/>
          <w:szCs w:val="24"/>
          <w:lang w:eastAsia="it-IT"/>
        </w:rPr>
        <w:t xml:space="preserve">nei casi in cui la spesa totale ammissibile è inferiore a 1 mln di euro, i documenti giustificativi </w:t>
      </w:r>
      <w:r w:rsidR="00194CB0" w:rsidRPr="00A6683B">
        <w:rPr>
          <w:rFonts w:eastAsia="Times New Roman" w:cs="Times New Roman"/>
          <w:szCs w:val="24"/>
          <w:lang w:eastAsia="it-IT"/>
        </w:rPr>
        <w:t>del</w:t>
      </w:r>
      <w:r w:rsidR="004F710A" w:rsidRPr="00A6683B">
        <w:rPr>
          <w:rFonts w:eastAsia="Times New Roman" w:cs="Times New Roman"/>
          <w:szCs w:val="24"/>
          <w:lang w:eastAsia="it-IT"/>
        </w:rPr>
        <w:t xml:space="preserve">le spese sostenute </w:t>
      </w:r>
      <w:r w:rsidR="00194CB0" w:rsidRPr="00A6683B">
        <w:rPr>
          <w:rFonts w:eastAsia="Times New Roman" w:cs="Times New Roman"/>
          <w:szCs w:val="24"/>
          <w:lang w:eastAsia="it-IT"/>
        </w:rPr>
        <w:t>s</w:t>
      </w:r>
      <w:r w:rsidR="001C36C6">
        <w:rPr>
          <w:rFonts w:eastAsia="Times New Roman" w:cs="Times New Roman"/>
          <w:szCs w:val="24"/>
          <w:lang w:eastAsia="it-IT"/>
        </w:rPr>
        <w:t>ono</w:t>
      </w:r>
      <w:r w:rsidR="00194CB0" w:rsidRPr="00A6683B">
        <w:rPr>
          <w:rFonts w:eastAsia="Times New Roman" w:cs="Times New Roman"/>
          <w:szCs w:val="24"/>
          <w:lang w:eastAsia="it-IT"/>
        </w:rPr>
        <w:t xml:space="preserve"> resi disponibili su </w:t>
      </w:r>
      <w:r w:rsidR="00194CB0" w:rsidRPr="00A6683B">
        <w:rPr>
          <w:rFonts w:eastAsia="Times New Roman" w:cs="Times New Roman"/>
          <w:szCs w:val="24"/>
          <w:u w:val="single"/>
          <w:lang w:eastAsia="it-IT"/>
        </w:rPr>
        <w:t xml:space="preserve">richiesta, </w:t>
      </w:r>
      <w:r w:rsidR="00194CB0" w:rsidRPr="00A6683B">
        <w:rPr>
          <w:rFonts w:eastAsia="Times New Roman" w:cs="Times New Roman"/>
          <w:szCs w:val="24"/>
          <w:lang w:eastAsia="it-IT"/>
        </w:rPr>
        <w:t xml:space="preserve">alla Commissione e alla Corte dei conti europea, nell’arco dei tre anni a decorrere dal 31 dicembre successivo alla presentazione dei conti nei quali sono state inserite le </w:t>
      </w:r>
      <w:r w:rsidR="00042A67" w:rsidRPr="00A6683B">
        <w:rPr>
          <w:rFonts w:eastAsia="Times New Roman" w:cs="Times New Roman"/>
          <w:szCs w:val="24"/>
          <w:lang w:eastAsia="it-IT"/>
        </w:rPr>
        <w:t xml:space="preserve">spese delle </w:t>
      </w:r>
      <w:r w:rsidR="00194CB0" w:rsidRPr="00A6683B">
        <w:rPr>
          <w:rFonts w:eastAsia="Times New Roman" w:cs="Times New Roman"/>
          <w:szCs w:val="24"/>
          <w:lang w:eastAsia="it-IT"/>
        </w:rPr>
        <w:t xml:space="preserve">operazioni di riferimento. Ad esempio, visto che la prima presentazione dei conti avverrà a febbraio 2016, i documenti dovranno essere disponibili fino a </w:t>
      </w:r>
      <w:r w:rsidR="00194CB0" w:rsidRPr="00A6683B">
        <w:rPr>
          <w:rFonts w:eastAsia="Times New Roman" w:cs="Times New Roman"/>
          <w:szCs w:val="24"/>
          <w:lang w:eastAsia="it-IT"/>
        </w:rPr>
        <w:lastRenderedPageBreak/>
        <w:t xml:space="preserve">dicembre 2019 e così via con la medesima modalità fino a dicembre 2028. </w:t>
      </w:r>
      <w:r w:rsidRPr="00A6683B">
        <w:rPr>
          <w:rFonts w:eastAsia="Times New Roman" w:cs="Times New Roman"/>
          <w:szCs w:val="24"/>
          <w:lang w:eastAsia="it-IT"/>
        </w:rPr>
        <w:t xml:space="preserve">Tale previsione sembrerebbe finalizzata ad alleggerire gli oneri legati alla conservazione dei documenti giustificativi a carico dei beneficiari, sebbene occorrerà comunque presidiare il rispetto della tempistica per ogni singola operazione. </w:t>
      </w:r>
    </w:p>
    <w:p w:rsidR="00A6683B" w:rsidRDefault="00A6683B" w:rsidP="001F3CE2">
      <w:pPr>
        <w:spacing w:before="0" w:after="0"/>
        <w:jc w:val="both"/>
        <w:rPr>
          <w:rFonts w:eastAsia="Times New Roman" w:cs="Times New Roman"/>
          <w:i/>
          <w:szCs w:val="24"/>
          <w:lang w:eastAsia="it-IT"/>
        </w:rPr>
      </w:pPr>
      <w:r>
        <w:rPr>
          <w:rFonts w:eastAsia="Times New Roman" w:cs="Times New Roman"/>
          <w:szCs w:val="24"/>
          <w:lang w:eastAsia="it-IT"/>
        </w:rPr>
        <w:t xml:space="preserve">Nel caso di operazioni con importo superiore a 1 mln di euro, tutti i documenti giustificativi sono resi disponibili per un periodo di </w:t>
      </w:r>
      <w:r w:rsidRPr="004110C2">
        <w:rPr>
          <w:rFonts w:eastAsia="Times New Roman" w:cs="Times New Roman"/>
          <w:szCs w:val="24"/>
          <w:u w:val="single"/>
          <w:lang w:eastAsia="it-IT"/>
        </w:rPr>
        <w:t>due anni</w:t>
      </w:r>
      <w:r>
        <w:rPr>
          <w:rFonts w:eastAsia="Times New Roman" w:cs="Times New Roman"/>
          <w:szCs w:val="24"/>
          <w:lang w:eastAsia="it-IT"/>
        </w:rPr>
        <w:t xml:space="preserve"> a decorrere dal 31 dicembre successivo alla presentazione dei conti nei quali sono incluse le spese finali dell’operazione completata. </w:t>
      </w:r>
      <w:r w:rsidR="004110C2">
        <w:rPr>
          <w:rFonts w:eastAsia="Times New Roman" w:cs="Times New Roman"/>
          <w:szCs w:val="24"/>
          <w:lang w:eastAsia="it-IT"/>
        </w:rPr>
        <w:t xml:space="preserve">Per </w:t>
      </w:r>
      <w:r w:rsidR="00F15119" w:rsidRPr="004110C2">
        <w:rPr>
          <w:rFonts w:eastAsia="Times New Roman" w:cs="Times New Roman"/>
          <w:szCs w:val="24"/>
          <w:u w:val="single"/>
          <w:lang w:eastAsia="it-IT"/>
        </w:rPr>
        <w:t>operazione completata</w:t>
      </w:r>
      <w:r w:rsidR="00F15119">
        <w:rPr>
          <w:rFonts w:eastAsia="Times New Roman" w:cs="Times New Roman"/>
          <w:szCs w:val="24"/>
          <w:lang w:eastAsia="it-IT"/>
        </w:rPr>
        <w:t xml:space="preserve">, </w:t>
      </w:r>
      <w:r w:rsidR="00BA2DD8">
        <w:rPr>
          <w:rFonts w:eastAsia="Times New Roman" w:cs="Times New Roman"/>
          <w:szCs w:val="24"/>
          <w:lang w:eastAsia="it-IT"/>
        </w:rPr>
        <w:t xml:space="preserve">s’intende </w:t>
      </w:r>
      <w:r w:rsidR="00F15119">
        <w:rPr>
          <w:rFonts w:eastAsia="Times New Roman" w:cs="Times New Roman"/>
          <w:szCs w:val="24"/>
          <w:lang w:eastAsia="it-IT"/>
        </w:rPr>
        <w:t>secondo l’art. 2 del regolamento disposizioni comuni “</w:t>
      </w:r>
      <w:r w:rsidR="00F15119" w:rsidRPr="00DC52A0">
        <w:rPr>
          <w:rFonts w:eastAsia="Times New Roman" w:cs="Times New Roman"/>
          <w:i/>
          <w:szCs w:val="24"/>
          <w:lang w:eastAsia="it-IT"/>
        </w:rPr>
        <w:t>un’operazione che è stata materialmente</w:t>
      </w:r>
      <w:r w:rsidR="00F15119">
        <w:rPr>
          <w:rFonts w:eastAsia="Times New Roman" w:cs="Times New Roman"/>
          <w:szCs w:val="24"/>
          <w:lang w:eastAsia="it-IT"/>
        </w:rPr>
        <w:t xml:space="preserve"> </w:t>
      </w:r>
      <w:r w:rsidR="00845EBA" w:rsidRPr="00845EBA">
        <w:rPr>
          <w:rFonts w:eastAsia="Times New Roman" w:cs="Times New Roman"/>
          <w:i/>
          <w:szCs w:val="24"/>
          <w:lang w:eastAsia="it-IT"/>
        </w:rPr>
        <w:t xml:space="preserve">o pienamente realizzata e per la quale tutti i pagamenti previsti </w:t>
      </w:r>
      <w:r w:rsidR="007A76B6">
        <w:rPr>
          <w:rFonts w:eastAsia="Times New Roman" w:cs="Times New Roman"/>
          <w:i/>
          <w:szCs w:val="24"/>
          <w:lang w:eastAsia="it-IT"/>
        </w:rPr>
        <w:t xml:space="preserve">sono stati effettuati dai beneficiari e il contributo pubblico corrispondente è stato corrisposto ai beneficiari”. </w:t>
      </w:r>
    </w:p>
    <w:p w:rsidR="001D3639" w:rsidRDefault="001D3639" w:rsidP="001F3CE2">
      <w:pPr>
        <w:spacing w:before="0" w:after="0"/>
        <w:jc w:val="both"/>
        <w:rPr>
          <w:rFonts w:eastAsia="Times New Roman" w:cs="Times New Roman"/>
          <w:szCs w:val="24"/>
          <w:lang w:eastAsia="it-IT"/>
        </w:rPr>
      </w:pPr>
      <w:r>
        <w:rPr>
          <w:rFonts w:eastAsia="Times New Roman" w:cs="Times New Roman"/>
          <w:szCs w:val="24"/>
          <w:lang w:eastAsia="it-IT"/>
        </w:rPr>
        <w:t>Analoga previsione e tempistica può essere applicata dall’</w:t>
      </w:r>
      <w:proofErr w:type="spellStart"/>
      <w:r>
        <w:rPr>
          <w:rFonts w:eastAsia="Times New Roman" w:cs="Times New Roman"/>
          <w:szCs w:val="24"/>
          <w:lang w:eastAsia="it-IT"/>
        </w:rPr>
        <w:t>AdG</w:t>
      </w:r>
      <w:proofErr w:type="spellEnd"/>
      <w:r>
        <w:rPr>
          <w:rFonts w:eastAsia="Times New Roman" w:cs="Times New Roman"/>
          <w:szCs w:val="24"/>
          <w:lang w:eastAsia="it-IT"/>
        </w:rPr>
        <w:t xml:space="preserve"> anche ad operazioni con spese ammissibili inferiori a 1 mln di euro qualora le spese si riferiscano ad un’operazione completata.</w:t>
      </w:r>
    </w:p>
    <w:p w:rsidR="004110C2" w:rsidRPr="004110C2" w:rsidRDefault="001D3639" w:rsidP="001F3CE2">
      <w:pPr>
        <w:spacing w:before="0" w:after="0"/>
        <w:jc w:val="both"/>
        <w:rPr>
          <w:rFonts w:eastAsia="Times New Roman" w:cs="Times New Roman"/>
          <w:szCs w:val="24"/>
          <w:lang w:eastAsia="it-IT"/>
        </w:rPr>
      </w:pPr>
      <w:r>
        <w:rPr>
          <w:rFonts w:eastAsia="Times New Roman" w:cs="Times New Roman"/>
          <w:szCs w:val="24"/>
          <w:lang w:eastAsia="it-IT"/>
        </w:rPr>
        <w:t xml:space="preserve"> </w:t>
      </w:r>
    </w:p>
    <w:p w:rsidR="00AF3266" w:rsidRPr="00A6683B" w:rsidRDefault="00AA75DD" w:rsidP="001F3CE2">
      <w:pPr>
        <w:spacing w:before="0" w:after="0"/>
        <w:jc w:val="both"/>
        <w:rPr>
          <w:rFonts w:eastAsia="Times New Roman" w:cs="Times New Roman"/>
          <w:szCs w:val="24"/>
          <w:lang w:eastAsia="it-IT"/>
        </w:rPr>
      </w:pPr>
      <w:r w:rsidRPr="00A6683B">
        <w:rPr>
          <w:rFonts w:eastAsia="Times New Roman" w:cs="Times New Roman"/>
          <w:szCs w:val="24"/>
          <w:lang w:eastAsia="it-IT"/>
        </w:rPr>
        <w:t>Inoltre, l’</w:t>
      </w:r>
      <w:proofErr w:type="spellStart"/>
      <w:r w:rsidRPr="00A6683B">
        <w:rPr>
          <w:rFonts w:eastAsia="Times New Roman" w:cs="Times New Roman"/>
          <w:szCs w:val="24"/>
          <w:lang w:eastAsia="it-IT"/>
        </w:rPr>
        <w:t>AdG</w:t>
      </w:r>
      <w:proofErr w:type="spellEnd"/>
      <w:r w:rsidRPr="00A6683B">
        <w:rPr>
          <w:rFonts w:eastAsia="Times New Roman" w:cs="Times New Roman"/>
          <w:szCs w:val="24"/>
          <w:lang w:eastAsia="it-IT"/>
        </w:rPr>
        <w:t xml:space="preserve"> dovrà informare i beneficiari della data dalla quale decorre il periodo di tenuta dei documenti. </w:t>
      </w:r>
      <w:r w:rsidR="00AF3266" w:rsidRPr="00A6683B">
        <w:rPr>
          <w:rFonts w:eastAsia="Times New Roman" w:cs="Times New Roman"/>
          <w:szCs w:val="24"/>
          <w:lang w:eastAsia="it-IT"/>
        </w:rPr>
        <w:t xml:space="preserve">Il periodo di tempo </w:t>
      </w:r>
      <w:r w:rsidR="00966783" w:rsidRPr="00A6683B">
        <w:rPr>
          <w:rFonts w:eastAsia="Times New Roman" w:cs="Times New Roman"/>
          <w:szCs w:val="24"/>
          <w:lang w:eastAsia="it-IT"/>
        </w:rPr>
        <w:t>potrà essere</w:t>
      </w:r>
      <w:r w:rsidR="00AF3266" w:rsidRPr="00A6683B">
        <w:rPr>
          <w:rFonts w:eastAsia="Times New Roman" w:cs="Times New Roman"/>
          <w:szCs w:val="24"/>
          <w:lang w:eastAsia="it-IT"/>
        </w:rPr>
        <w:t xml:space="preserve"> interrotto in caso di procedimento giudiziario e su richiesta debitamente motivata dalla Commissione. </w:t>
      </w:r>
    </w:p>
    <w:p w:rsidR="00194CB0" w:rsidRDefault="00DF2CDE" w:rsidP="001F3CE2">
      <w:pPr>
        <w:spacing w:before="0" w:after="0"/>
        <w:jc w:val="both"/>
        <w:rPr>
          <w:rFonts w:eastAsia="Times New Roman" w:cs="Times New Roman"/>
          <w:szCs w:val="24"/>
          <w:lang w:eastAsia="it-IT"/>
        </w:rPr>
      </w:pPr>
      <w:r w:rsidRPr="00A6683B">
        <w:rPr>
          <w:rFonts w:eastAsia="Times New Roman" w:cs="Times New Roman"/>
          <w:szCs w:val="24"/>
          <w:lang w:eastAsia="it-IT"/>
        </w:rPr>
        <w:t>Dal punto di vista temporale, n</w:t>
      </w:r>
      <w:r w:rsidR="00AA75DD" w:rsidRPr="00A6683B">
        <w:rPr>
          <w:rFonts w:eastAsia="Times New Roman" w:cs="Times New Roman"/>
          <w:szCs w:val="24"/>
          <w:lang w:eastAsia="it-IT"/>
        </w:rPr>
        <w:t>ell’attuale</w:t>
      </w:r>
      <w:r w:rsidR="00194CB0" w:rsidRPr="00A6683B">
        <w:rPr>
          <w:rFonts w:eastAsia="Times New Roman" w:cs="Times New Roman"/>
          <w:szCs w:val="24"/>
          <w:lang w:eastAsia="it-IT"/>
        </w:rPr>
        <w:t xml:space="preserve"> periodo</w:t>
      </w:r>
      <w:r w:rsidR="00AA75DD" w:rsidRPr="00A6683B">
        <w:rPr>
          <w:rFonts w:eastAsia="Times New Roman" w:cs="Times New Roman"/>
          <w:szCs w:val="24"/>
          <w:lang w:eastAsia="it-IT"/>
        </w:rPr>
        <w:t xml:space="preserve"> invece i documenti </w:t>
      </w:r>
      <w:r w:rsidR="00194CB0" w:rsidRPr="00A6683B">
        <w:rPr>
          <w:rFonts w:eastAsia="Times New Roman" w:cs="Times New Roman"/>
          <w:szCs w:val="24"/>
          <w:lang w:eastAsia="it-IT"/>
        </w:rPr>
        <w:t>d</w:t>
      </w:r>
      <w:r w:rsidR="00AA75DD" w:rsidRPr="00A6683B">
        <w:rPr>
          <w:rFonts w:eastAsia="Times New Roman" w:cs="Times New Roman"/>
          <w:szCs w:val="24"/>
          <w:lang w:eastAsia="it-IT"/>
        </w:rPr>
        <w:t>evono</w:t>
      </w:r>
      <w:r w:rsidR="00194CB0" w:rsidRPr="00A6683B">
        <w:rPr>
          <w:rFonts w:eastAsia="Times New Roman" w:cs="Times New Roman"/>
          <w:szCs w:val="24"/>
          <w:lang w:eastAsia="it-IT"/>
        </w:rPr>
        <w:t xml:space="preserve"> </w:t>
      </w:r>
      <w:r w:rsidR="00AA75DD" w:rsidRPr="00A6683B">
        <w:rPr>
          <w:rFonts w:eastAsia="Times New Roman" w:cs="Times New Roman"/>
          <w:szCs w:val="24"/>
          <w:lang w:eastAsia="it-IT"/>
        </w:rPr>
        <w:t xml:space="preserve">essere tenuti a disposizione della CE e CEE per i tre anni successivi alla chiusura del PO. </w:t>
      </w:r>
    </w:p>
    <w:p w:rsidR="001D3639" w:rsidRPr="00A6683B" w:rsidRDefault="001D3639" w:rsidP="001F3CE2">
      <w:pPr>
        <w:spacing w:before="0" w:after="0"/>
        <w:jc w:val="both"/>
        <w:rPr>
          <w:rFonts w:eastAsia="Times New Roman" w:cs="Times New Roman"/>
          <w:szCs w:val="24"/>
          <w:lang w:eastAsia="it-IT"/>
        </w:rPr>
      </w:pPr>
    </w:p>
    <w:p w:rsidR="00515224" w:rsidRPr="00A6683B" w:rsidRDefault="00DF2CDE" w:rsidP="001F3CE2">
      <w:pPr>
        <w:spacing w:before="0" w:after="0"/>
        <w:jc w:val="both"/>
        <w:rPr>
          <w:rFonts w:eastAsia="Times New Roman" w:cs="Times New Roman"/>
          <w:szCs w:val="24"/>
          <w:lang w:eastAsia="it-IT"/>
        </w:rPr>
      </w:pPr>
      <w:r w:rsidRPr="00A6683B">
        <w:rPr>
          <w:rFonts w:eastAsia="Times New Roman" w:cs="Times New Roman"/>
          <w:szCs w:val="24"/>
          <w:lang w:eastAsia="it-IT"/>
        </w:rPr>
        <w:t xml:space="preserve">Altro elemento di novità riguarda il fatto che non è più presente il riferimento alla tenuta dei documenti relativi alle verifiche, la cui tenuta dovrà comunque essere garantita ai fini dello svolgimento dei controlli a qualsiasi livello (es. audit della CE).  </w:t>
      </w:r>
      <w:r w:rsidR="005573B9" w:rsidRPr="00A6683B">
        <w:rPr>
          <w:rFonts w:eastAsia="Times New Roman" w:cs="Times New Roman"/>
          <w:szCs w:val="24"/>
          <w:lang w:eastAsia="it-IT"/>
        </w:rPr>
        <w:t xml:space="preserve"> </w:t>
      </w:r>
    </w:p>
    <w:p w:rsidR="009B14A4" w:rsidRPr="00A6683B" w:rsidRDefault="009B14A4" w:rsidP="001F3CE2">
      <w:pPr>
        <w:spacing w:before="0" w:after="0"/>
        <w:jc w:val="both"/>
        <w:rPr>
          <w:rFonts w:eastAsia="Times New Roman" w:cs="Times New Roman"/>
          <w:szCs w:val="24"/>
          <w:lang w:eastAsia="it-IT"/>
        </w:rPr>
      </w:pPr>
      <w:r w:rsidRPr="00A6683B">
        <w:rPr>
          <w:rFonts w:eastAsia="Times New Roman" w:cs="Times New Roman"/>
          <w:szCs w:val="24"/>
          <w:lang w:eastAsia="it-IT"/>
        </w:rPr>
        <w:t>È confermat</w:t>
      </w:r>
      <w:r w:rsidR="00425F5B" w:rsidRPr="00A6683B">
        <w:rPr>
          <w:rFonts w:eastAsia="Times New Roman" w:cs="Times New Roman"/>
          <w:szCs w:val="24"/>
          <w:lang w:eastAsia="it-IT"/>
        </w:rPr>
        <w:t>a la possibilità di conservare i documenti sotto forma di o</w:t>
      </w:r>
      <w:r w:rsidR="00710B42" w:rsidRPr="00A6683B">
        <w:rPr>
          <w:rFonts w:eastAsia="Times New Roman" w:cs="Times New Roman"/>
          <w:szCs w:val="24"/>
          <w:lang w:eastAsia="it-IT"/>
        </w:rPr>
        <w:t xml:space="preserve">riginali o di copie autenticate, o su supporti per i dati comunemente accettati, specificando però che ci si riferisce alle versioni elettroniche di documenti originali o i documenti esistenti esclusivamente in versione elettronica. </w:t>
      </w:r>
    </w:p>
    <w:p w:rsidR="005573B9" w:rsidRDefault="005573B9" w:rsidP="001F3CE2">
      <w:pPr>
        <w:spacing w:before="0" w:after="0"/>
        <w:jc w:val="both"/>
        <w:rPr>
          <w:rFonts w:eastAsia="Times New Roman" w:cs="Times New Roman"/>
          <w:szCs w:val="24"/>
          <w:lang w:eastAsia="it-IT"/>
        </w:rPr>
      </w:pPr>
      <w:r w:rsidRPr="00A6683B">
        <w:rPr>
          <w:rFonts w:eastAsia="Times New Roman" w:cs="Times New Roman"/>
          <w:szCs w:val="24"/>
          <w:lang w:eastAsia="it-IT"/>
        </w:rPr>
        <w:t>Il regolamento specifica inoltre che la procedura per la certificazione della conformità dei documenti conservati su supporti comunemente accettati al documento originale è stabilita dalle autorità nazionali e garantisce che le versioni conservate rispettino i requisiti giuridici nazionali e siano affidabili ai fini di audit.</w:t>
      </w:r>
      <w:r>
        <w:rPr>
          <w:rFonts w:eastAsia="Times New Roman" w:cs="Times New Roman"/>
          <w:szCs w:val="24"/>
          <w:lang w:eastAsia="it-IT"/>
        </w:rPr>
        <w:t xml:space="preserve"> </w:t>
      </w:r>
    </w:p>
    <w:p w:rsidR="009B14A4" w:rsidRDefault="009B14A4" w:rsidP="001F3CE2">
      <w:pPr>
        <w:spacing w:before="0" w:after="0"/>
        <w:jc w:val="both"/>
        <w:rPr>
          <w:rFonts w:eastAsia="Times New Roman" w:cs="Times New Roman"/>
          <w:szCs w:val="24"/>
          <w:lang w:eastAsia="it-IT"/>
        </w:rPr>
      </w:pPr>
    </w:p>
    <w:p w:rsidR="001F3CE2" w:rsidRPr="001F3CE2" w:rsidRDefault="001F3CE2" w:rsidP="001F3CE2">
      <w:pPr>
        <w:spacing w:before="0" w:after="0"/>
        <w:jc w:val="both"/>
        <w:rPr>
          <w:rFonts w:eastAsia="Times New Roman" w:cs="Times New Roman"/>
          <w:szCs w:val="24"/>
          <w:u w:val="single"/>
          <w:lang w:eastAsia="it-IT"/>
        </w:rPr>
      </w:pPr>
    </w:p>
    <w:p w:rsidR="001F3CE2" w:rsidRPr="001F3CE2" w:rsidRDefault="001F3CE2" w:rsidP="001F3CE2">
      <w:pPr>
        <w:spacing w:before="0" w:after="0"/>
        <w:jc w:val="both"/>
        <w:rPr>
          <w:rFonts w:eastAsia="Times New Roman" w:cs="Times New Roman"/>
          <w:szCs w:val="24"/>
          <w:u w:val="single"/>
          <w:lang w:eastAsia="it-IT"/>
        </w:rPr>
      </w:pPr>
      <w:r w:rsidRPr="001F3CE2">
        <w:rPr>
          <w:rFonts w:eastAsia="Times New Roman" w:cs="Times New Roman"/>
          <w:szCs w:val="24"/>
          <w:u w:val="single"/>
          <w:lang w:eastAsia="it-IT"/>
        </w:rPr>
        <w:t>Chiusura dei programmi operativi</w:t>
      </w:r>
    </w:p>
    <w:p w:rsidR="001F3CE2" w:rsidRPr="001F3CE2" w:rsidRDefault="001F3CE2" w:rsidP="001F3CE2">
      <w:pPr>
        <w:spacing w:before="0" w:after="0"/>
        <w:jc w:val="both"/>
        <w:rPr>
          <w:rFonts w:eastAsia="Times New Roman" w:cs="Times New Roman"/>
          <w:b/>
          <w:szCs w:val="24"/>
          <w:u w:val="single"/>
          <w:lang w:eastAsia="it-IT"/>
        </w:rPr>
      </w:pP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Come già detto la procedura di presentazione e liquidazione dei conti avrà luogo ogni anno, per nove anni consecutivi. L’ultimo anno si procederà quindi alla presentazione dei documenti di chiusura dei PO per la richiesta del saldo finale (art. 141 del regolamento disposizioni comuni).</w:t>
      </w: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Ai fini della chiusura, entro il 15 febbraio 2025, occorrerà presentare i documenti relativi all’ultimo periodo contabile, che va dal 1° luglio 2023 al 30 giugno 2024, ovvero i conti preparati dall’</w:t>
      </w:r>
      <w:proofErr w:type="spellStart"/>
      <w:r w:rsidRPr="001F3CE2">
        <w:rPr>
          <w:rFonts w:eastAsia="Times New Roman" w:cs="Times New Roman"/>
          <w:szCs w:val="24"/>
          <w:lang w:eastAsia="it-IT"/>
        </w:rPr>
        <w:t>AdC</w:t>
      </w:r>
      <w:proofErr w:type="spellEnd"/>
      <w:r w:rsidRPr="001F3CE2">
        <w:rPr>
          <w:rFonts w:eastAsia="Times New Roman" w:cs="Times New Roman"/>
          <w:szCs w:val="24"/>
          <w:lang w:eastAsia="it-IT"/>
        </w:rPr>
        <w:t>, la dichiarazione di gestione e il riepilogo annuale dell’</w:t>
      </w:r>
      <w:proofErr w:type="spellStart"/>
      <w:r w:rsidRPr="001F3CE2">
        <w:rPr>
          <w:rFonts w:eastAsia="Times New Roman" w:cs="Times New Roman"/>
          <w:szCs w:val="24"/>
          <w:lang w:eastAsia="it-IT"/>
        </w:rPr>
        <w:t>AdG</w:t>
      </w:r>
      <w:proofErr w:type="spellEnd"/>
      <w:r w:rsidRPr="001F3CE2">
        <w:rPr>
          <w:rFonts w:eastAsia="Times New Roman" w:cs="Times New Roman"/>
          <w:szCs w:val="24"/>
          <w:lang w:eastAsia="it-IT"/>
        </w:rPr>
        <w:t>, la relazione di controllo e il parere di audit sui conti, ed il rapporto di esecuzione finale a cura dell’</w:t>
      </w:r>
      <w:proofErr w:type="spellStart"/>
      <w:r w:rsidRPr="001F3CE2">
        <w:rPr>
          <w:rFonts w:eastAsia="Times New Roman" w:cs="Times New Roman"/>
          <w:szCs w:val="24"/>
          <w:lang w:eastAsia="it-IT"/>
        </w:rPr>
        <w:t>AdG</w:t>
      </w:r>
      <w:proofErr w:type="spellEnd"/>
      <w:r w:rsidRPr="001F3CE2">
        <w:rPr>
          <w:rFonts w:eastAsia="Times New Roman" w:cs="Times New Roman"/>
          <w:szCs w:val="24"/>
          <w:lang w:eastAsia="it-IT"/>
        </w:rPr>
        <w:t xml:space="preserve">. </w:t>
      </w: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Poiché la data ultima per l’ammissibilità della spesa è il 31 dicembre 2023, le domande di pagamento che saranno presentate lungo l’ultimo periodo contabile, ovvero non oltre il 31 luglio 2024, dovranno riguardare spese sostenute dai beneficiari entro il 31 dicembre 2023.</w:t>
      </w: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 xml:space="preserve">Entro tre mesi dalla data di accettazione dei conti, la CE effettuerà il pagamento del saldo finale, indicativamente entro il 15 giugno 2025, oppure entro un mese dalla data di accettazione della relazione di attuazione finale, se successiva. </w:t>
      </w:r>
    </w:p>
    <w:p w:rsidR="001F3CE2" w:rsidRPr="001F3CE2" w:rsidRDefault="001F3CE2" w:rsidP="001F3CE2">
      <w:pPr>
        <w:spacing w:before="0" w:after="0"/>
        <w:jc w:val="both"/>
        <w:rPr>
          <w:rFonts w:eastAsia="Times New Roman" w:cs="Times New Roman"/>
          <w:szCs w:val="24"/>
          <w:lang w:eastAsia="it-IT"/>
        </w:rPr>
      </w:pPr>
      <w:r w:rsidRPr="001F3CE2">
        <w:rPr>
          <w:rFonts w:eastAsia="Times New Roman" w:cs="Times New Roman"/>
          <w:szCs w:val="24"/>
          <w:lang w:eastAsia="it-IT"/>
        </w:rPr>
        <w:t>Poiché le tempistiche sono diverse, è naturale che il pagamento del saldo avverrà comunque a conclusione dell’esame e dell’accettazione di tutta la documentazione.</w:t>
      </w:r>
    </w:p>
    <w:sectPr w:rsidR="001F3CE2" w:rsidRPr="001F3CE2" w:rsidSect="001F3CE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323" w:rsidRDefault="00B66323" w:rsidP="007240EA">
      <w:pPr>
        <w:spacing w:before="0" w:after="0"/>
      </w:pPr>
      <w:r>
        <w:separator/>
      </w:r>
    </w:p>
  </w:endnote>
  <w:endnote w:type="continuationSeparator" w:id="0">
    <w:p w:rsidR="00B66323" w:rsidRDefault="00B66323" w:rsidP="007240E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1282647"/>
      <w:docPartObj>
        <w:docPartGallery w:val="Page Numbers (Bottom of Page)"/>
        <w:docPartUnique/>
      </w:docPartObj>
    </w:sdtPr>
    <w:sdtEndPr/>
    <w:sdtContent>
      <w:p w:rsidR="00613F59" w:rsidRDefault="00613F59">
        <w:pPr>
          <w:pStyle w:val="Pidipagina"/>
          <w:jc w:val="right"/>
        </w:pPr>
        <w:r>
          <w:fldChar w:fldCharType="begin"/>
        </w:r>
        <w:r>
          <w:instrText>PAGE   \* MERGEFORMAT</w:instrText>
        </w:r>
        <w:r>
          <w:fldChar w:fldCharType="separate"/>
        </w:r>
        <w:r w:rsidR="0011562C">
          <w:rPr>
            <w:noProof/>
          </w:rPr>
          <w:t>11</w:t>
        </w:r>
        <w:r>
          <w:fldChar w:fldCharType="end"/>
        </w:r>
      </w:p>
    </w:sdtContent>
  </w:sdt>
  <w:p w:rsidR="00613F59" w:rsidRDefault="0011562C" w:rsidP="0011562C">
    <w:pPr>
      <w:pStyle w:val="Pidipagina"/>
      <w:jc w:val="center"/>
    </w:pPr>
    <w:r>
      <w:rPr>
        <w:sz w:val="20"/>
      </w:rPr>
      <w:t xml:space="preserve">Tecnostruttura delle Regioni – </w:t>
    </w:r>
    <w:proofErr w:type="spellStart"/>
    <w:r>
      <w:rPr>
        <w:sz w:val="20"/>
      </w:rPr>
      <w:t>All</w:t>
    </w:r>
    <w:proofErr w:type="spellEnd"/>
    <w:r>
      <w:rPr>
        <w:sz w:val="20"/>
      </w:rPr>
      <w:t xml:space="preserve">. </w:t>
    </w:r>
    <w:r>
      <w:rPr>
        <w:sz w:val="20"/>
      </w:rPr>
      <w:t>4</w:t>
    </w:r>
    <w:r>
      <w:rPr>
        <w:sz w:val="20"/>
      </w:rPr>
      <w:t xml:space="preserve"> al </w:t>
    </w:r>
    <w:proofErr w:type="spellStart"/>
    <w:r>
      <w:rPr>
        <w:sz w:val="20"/>
      </w:rPr>
      <w:t>prot</w:t>
    </w:r>
    <w:proofErr w:type="spellEnd"/>
    <w:r>
      <w:rPr>
        <w:sz w:val="20"/>
      </w:rPr>
      <w:t>. 905/FSE del 2 aprile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323" w:rsidRDefault="00B66323" w:rsidP="007240EA">
      <w:pPr>
        <w:spacing w:before="0" w:after="0"/>
      </w:pPr>
      <w:r>
        <w:separator/>
      </w:r>
    </w:p>
  </w:footnote>
  <w:footnote w:type="continuationSeparator" w:id="0">
    <w:p w:rsidR="00B66323" w:rsidRDefault="00B66323" w:rsidP="007240EA">
      <w:pPr>
        <w:spacing w:before="0" w:after="0"/>
      </w:pPr>
      <w:r>
        <w:continuationSeparator/>
      </w:r>
    </w:p>
  </w:footnote>
  <w:footnote w:id="1">
    <w:p w:rsidR="004422E0" w:rsidRDefault="004422E0">
      <w:pPr>
        <w:pStyle w:val="Testonotaapidipagina"/>
      </w:pPr>
      <w:r>
        <w:rPr>
          <w:rStyle w:val="Rimandonotaapidipagina"/>
        </w:rPr>
        <w:footnoteRef/>
      </w:r>
      <w:r>
        <w:t xml:space="preserve"> </w:t>
      </w:r>
      <w:r>
        <w:rPr>
          <w:rFonts w:eastAsia="Times New Roman" w:cs="Times New Roman"/>
          <w:szCs w:val="24"/>
          <w:lang w:eastAsia="it-IT"/>
        </w:rPr>
        <w:t>P</w:t>
      </w:r>
      <w:r w:rsidRPr="001F3CE2">
        <w:rPr>
          <w:rFonts w:eastAsia="Times New Roman" w:cs="Times New Roman"/>
          <w:szCs w:val="24"/>
          <w:lang w:eastAsia="it-IT"/>
        </w:rPr>
        <w:t>er la p</w:t>
      </w:r>
      <w:r>
        <w:rPr>
          <w:rFonts w:eastAsia="Times New Roman" w:cs="Times New Roman"/>
          <w:szCs w:val="24"/>
          <w:lang w:eastAsia="it-IT"/>
        </w:rPr>
        <w:t>rima volta dal 15 febbraio 2016</w:t>
      </w:r>
    </w:p>
  </w:footnote>
  <w:footnote w:id="2">
    <w:p w:rsidR="009C33D2" w:rsidRDefault="009C33D2" w:rsidP="009C33D2">
      <w:pPr>
        <w:pStyle w:val="Testonotaapidipagina"/>
      </w:pPr>
      <w:r>
        <w:rPr>
          <w:rStyle w:val="Rimandonotaapidipagina"/>
        </w:rPr>
        <w:footnoteRef/>
      </w:r>
      <w:r>
        <w:t xml:space="preserve"> </w:t>
      </w:r>
      <w:r>
        <w:rPr>
          <w:rFonts w:eastAsia="Times New Roman" w:cs="Times New Roman"/>
          <w:szCs w:val="24"/>
          <w:lang w:eastAsia="it-IT"/>
        </w:rPr>
        <w:t>C</w:t>
      </w:r>
      <w:r w:rsidRPr="001F3CE2">
        <w:rPr>
          <w:rFonts w:eastAsia="Times New Roman" w:cs="Times New Roman"/>
          <w:szCs w:val="24"/>
          <w:lang w:eastAsia="it-IT"/>
        </w:rPr>
        <w:t xml:space="preserve">fr. art. 2 del reg. </w:t>
      </w:r>
      <w:proofErr w:type="spellStart"/>
      <w:r w:rsidRPr="001F3CE2">
        <w:rPr>
          <w:rFonts w:eastAsia="Times New Roman" w:cs="Times New Roman"/>
          <w:szCs w:val="24"/>
          <w:lang w:eastAsia="it-IT"/>
        </w:rPr>
        <w:t>gen</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4800815"/>
      <w:docPartObj>
        <w:docPartGallery w:val="Page Numbers (Top of Page)"/>
        <w:docPartUnique/>
      </w:docPartObj>
    </w:sdtPr>
    <w:sdtEndPr/>
    <w:sdtContent>
      <w:p w:rsidR="007240EA" w:rsidRDefault="007240EA">
        <w:pPr>
          <w:pStyle w:val="Intestazione"/>
          <w:jc w:val="right"/>
        </w:pPr>
        <w:r>
          <w:fldChar w:fldCharType="begin"/>
        </w:r>
        <w:r>
          <w:instrText>PAGE   \* MERGEFORMAT</w:instrText>
        </w:r>
        <w:r>
          <w:fldChar w:fldCharType="separate"/>
        </w:r>
        <w:r w:rsidR="0011562C">
          <w:rPr>
            <w:noProof/>
          </w:rPr>
          <w:t>11</w:t>
        </w:r>
        <w:r>
          <w:fldChar w:fldCharType="end"/>
        </w:r>
      </w:p>
    </w:sdtContent>
  </w:sdt>
  <w:p w:rsidR="007240EA" w:rsidRDefault="007240E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EE7E1E"/>
    <w:multiLevelType w:val="hybridMultilevel"/>
    <w:tmpl w:val="5F28F55A"/>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4CD1464D"/>
    <w:multiLevelType w:val="hybridMultilevel"/>
    <w:tmpl w:val="5DB8CEAC"/>
    <w:lvl w:ilvl="0" w:tplc="B9907268">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0B3"/>
    <w:rsid w:val="00036FFA"/>
    <w:rsid w:val="00042A67"/>
    <w:rsid w:val="00104B4F"/>
    <w:rsid w:val="0011562C"/>
    <w:rsid w:val="00142FE6"/>
    <w:rsid w:val="00155BB2"/>
    <w:rsid w:val="001804DD"/>
    <w:rsid w:val="0019026B"/>
    <w:rsid w:val="00194CB0"/>
    <w:rsid w:val="001C1555"/>
    <w:rsid w:val="001C36C6"/>
    <w:rsid w:val="001D3639"/>
    <w:rsid w:val="001F3CE2"/>
    <w:rsid w:val="002523BA"/>
    <w:rsid w:val="002D23F8"/>
    <w:rsid w:val="002D4CD0"/>
    <w:rsid w:val="003D27C8"/>
    <w:rsid w:val="004110C2"/>
    <w:rsid w:val="004115CB"/>
    <w:rsid w:val="00423C5D"/>
    <w:rsid w:val="00425F5B"/>
    <w:rsid w:val="00427E50"/>
    <w:rsid w:val="004422E0"/>
    <w:rsid w:val="00465540"/>
    <w:rsid w:val="004D774D"/>
    <w:rsid w:val="004F710A"/>
    <w:rsid w:val="00515224"/>
    <w:rsid w:val="005573B9"/>
    <w:rsid w:val="0059126E"/>
    <w:rsid w:val="005D656E"/>
    <w:rsid w:val="00613F59"/>
    <w:rsid w:val="00625B57"/>
    <w:rsid w:val="00665385"/>
    <w:rsid w:val="006D412D"/>
    <w:rsid w:val="00704E68"/>
    <w:rsid w:val="00710B42"/>
    <w:rsid w:val="007240EA"/>
    <w:rsid w:val="007A76B6"/>
    <w:rsid w:val="007B44F2"/>
    <w:rsid w:val="0082635B"/>
    <w:rsid w:val="00845EBA"/>
    <w:rsid w:val="00871303"/>
    <w:rsid w:val="00887600"/>
    <w:rsid w:val="00892AA2"/>
    <w:rsid w:val="00897A6F"/>
    <w:rsid w:val="008A2C3A"/>
    <w:rsid w:val="008A3E8C"/>
    <w:rsid w:val="008E4266"/>
    <w:rsid w:val="008E4FA6"/>
    <w:rsid w:val="00913612"/>
    <w:rsid w:val="00921C2F"/>
    <w:rsid w:val="00966783"/>
    <w:rsid w:val="00990CBB"/>
    <w:rsid w:val="009B14A4"/>
    <w:rsid w:val="009C1367"/>
    <w:rsid w:val="009C33D2"/>
    <w:rsid w:val="009C606A"/>
    <w:rsid w:val="00A2508B"/>
    <w:rsid w:val="00A310B3"/>
    <w:rsid w:val="00A6683B"/>
    <w:rsid w:val="00A7594D"/>
    <w:rsid w:val="00A81888"/>
    <w:rsid w:val="00AA75DD"/>
    <w:rsid w:val="00AC621B"/>
    <w:rsid w:val="00AF3266"/>
    <w:rsid w:val="00B66323"/>
    <w:rsid w:val="00B97DA9"/>
    <w:rsid w:val="00BA2DD8"/>
    <w:rsid w:val="00C100C2"/>
    <w:rsid w:val="00C42F45"/>
    <w:rsid w:val="00C673AC"/>
    <w:rsid w:val="00C80758"/>
    <w:rsid w:val="00CC1171"/>
    <w:rsid w:val="00CD5DB8"/>
    <w:rsid w:val="00D56FF0"/>
    <w:rsid w:val="00DC52A0"/>
    <w:rsid w:val="00DD4A4B"/>
    <w:rsid w:val="00DE7FEF"/>
    <w:rsid w:val="00DF2CDE"/>
    <w:rsid w:val="00E1601F"/>
    <w:rsid w:val="00E56CB5"/>
    <w:rsid w:val="00E93AD8"/>
    <w:rsid w:val="00E9760E"/>
    <w:rsid w:val="00EE5AE8"/>
    <w:rsid w:val="00F118FA"/>
    <w:rsid w:val="00F15119"/>
    <w:rsid w:val="00F62305"/>
    <w:rsid w:val="00F77EAA"/>
    <w:rsid w:val="00F82555"/>
    <w:rsid w:val="00FA2D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65AB9CB0-E6E3-498A-B213-DA720A6DD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D23F8"/>
    <w:pPr>
      <w:spacing w:before="120" w:after="120" w:line="240" w:lineRule="auto"/>
    </w:pPr>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31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465540"/>
    <w:pPr>
      <w:spacing w:before="0"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65540"/>
    <w:rPr>
      <w:rFonts w:ascii="Segoe UI" w:hAnsi="Segoe UI" w:cs="Segoe UI"/>
      <w:sz w:val="18"/>
      <w:szCs w:val="18"/>
    </w:rPr>
  </w:style>
  <w:style w:type="paragraph" w:styleId="Intestazione">
    <w:name w:val="header"/>
    <w:basedOn w:val="Normale"/>
    <w:link w:val="IntestazioneCarattere"/>
    <w:uiPriority w:val="99"/>
    <w:unhideWhenUsed/>
    <w:rsid w:val="007240EA"/>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7240EA"/>
    <w:rPr>
      <w:rFonts w:ascii="Times New Roman" w:hAnsi="Times New Roman"/>
      <w:sz w:val="24"/>
    </w:rPr>
  </w:style>
  <w:style w:type="paragraph" w:styleId="Pidipagina">
    <w:name w:val="footer"/>
    <w:basedOn w:val="Normale"/>
    <w:link w:val="PidipaginaCarattere"/>
    <w:uiPriority w:val="99"/>
    <w:unhideWhenUsed/>
    <w:rsid w:val="007240EA"/>
    <w:pPr>
      <w:tabs>
        <w:tab w:val="center" w:pos="4819"/>
        <w:tab w:val="right" w:pos="9638"/>
      </w:tabs>
      <w:spacing w:before="0" w:after="0"/>
    </w:pPr>
  </w:style>
  <w:style w:type="character" w:customStyle="1" w:styleId="PidipaginaCarattere">
    <w:name w:val="Piè di pagina Carattere"/>
    <w:basedOn w:val="Carpredefinitoparagrafo"/>
    <w:link w:val="Pidipagina"/>
    <w:uiPriority w:val="99"/>
    <w:rsid w:val="007240EA"/>
    <w:rPr>
      <w:rFonts w:ascii="Times New Roman" w:hAnsi="Times New Roman"/>
      <w:sz w:val="24"/>
    </w:rPr>
  </w:style>
  <w:style w:type="paragraph" w:styleId="Sottotitolo">
    <w:name w:val="Subtitle"/>
    <w:basedOn w:val="Normale"/>
    <w:next w:val="Normale"/>
    <w:link w:val="SottotitoloCarattere"/>
    <w:uiPriority w:val="11"/>
    <w:qFormat/>
    <w:rsid w:val="002D4CD0"/>
    <w:pPr>
      <w:numPr>
        <w:ilvl w:val="1"/>
      </w:numPr>
      <w:spacing w:before="0" w:after="160" w:line="259" w:lineRule="auto"/>
    </w:pPr>
    <w:rPr>
      <w:rFonts w:asciiTheme="minorHAnsi" w:eastAsiaTheme="minorEastAsia" w:hAnsiTheme="minorHAnsi"/>
      <w:color w:val="5A5A5A" w:themeColor="text1" w:themeTint="A5"/>
      <w:spacing w:val="15"/>
      <w:sz w:val="22"/>
    </w:rPr>
  </w:style>
  <w:style w:type="character" w:customStyle="1" w:styleId="SottotitoloCarattere">
    <w:name w:val="Sottotitolo Carattere"/>
    <w:basedOn w:val="Carpredefinitoparagrafo"/>
    <w:link w:val="Sottotitolo"/>
    <w:uiPriority w:val="11"/>
    <w:rsid w:val="002D4CD0"/>
    <w:rPr>
      <w:rFonts w:eastAsiaTheme="minorEastAsia"/>
      <w:color w:val="5A5A5A" w:themeColor="text1" w:themeTint="A5"/>
      <w:spacing w:val="15"/>
    </w:rPr>
  </w:style>
  <w:style w:type="paragraph" w:styleId="Testonotaapidipagina">
    <w:name w:val="footnote text"/>
    <w:basedOn w:val="Normale"/>
    <w:link w:val="TestonotaapidipaginaCarattere"/>
    <w:uiPriority w:val="99"/>
    <w:semiHidden/>
    <w:unhideWhenUsed/>
    <w:rsid w:val="004422E0"/>
    <w:pPr>
      <w:spacing w:before="0" w:after="0"/>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422E0"/>
    <w:rPr>
      <w:rFonts w:ascii="Times New Roman" w:hAnsi="Times New Roman"/>
      <w:sz w:val="20"/>
      <w:szCs w:val="20"/>
    </w:rPr>
  </w:style>
  <w:style w:type="character" w:styleId="Rimandonotaapidipagina">
    <w:name w:val="footnote reference"/>
    <w:basedOn w:val="Carpredefinitoparagrafo"/>
    <w:uiPriority w:val="99"/>
    <w:semiHidden/>
    <w:unhideWhenUsed/>
    <w:rsid w:val="004422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5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6722F-663D-4822-AF57-9E4455549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4553</Words>
  <Characters>25953</Characters>
  <Application>Microsoft Office Word</Application>
  <DocSecurity>0</DocSecurity>
  <Lines>216</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Fagioli</dc:creator>
  <cp:keywords/>
  <dc:description/>
  <cp:lastModifiedBy>Rosita Tombesi</cp:lastModifiedBy>
  <cp:revision>4</cp:revision>
  <cp:lastPrinted>2014-03-21T11:47:00Z</cp:lastPrinted>
  <dcterms:created xsi:type="dcterms:W3CDTF">2014-04-01T15:17:00Z</dcterms:created>
  <dcterms:modified xsi:type="dcterms:W3CDTF">2014-04-02T08:05:00Z</dcterms:modified>
</cp:coreProperties>
</file>